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D673D" w14:textId="77777777" w:rsidR="00181154" w:rsidRDefault="00C771DD" w:rsidP="00181154">
      <w:pPr>
        <w:jc w:val="center"/>
        <w:rPr>
          <w:rFonts w:ascii="Arial" w:hAnsi="Arial" w:cs="Arial"/>
          <w:b/>
          <w:sz w:val="28"/>
          <w:szCs w:val="28"/>
        </w:rPr>
      </w:pPr>
      <w:bookmarkStart w:id="0" w:name="_GoBack"/>
      <w:bookmarkEnd w:id="0"/>
    </w:p>
    <w:p w14:paraId="5B8D673E" w14:textId="77777777" w:rsidR="00D45E6A" w:rsidRDefault="00C771DD" w:rsidP="00181154">
      <w:pPr>
        <w:jc w:val="center"/>
        <w:rPr>
          <w:rFonts w:ascii="Arial" w:hAnsi="Arial" w:cs="Arial"/>
          <w:b/>
          <w:sz w:val="28"/>
          <w:szCs w:val="28"/>
        </w:rPr>
      </w:pPr>
      <w:r w:rsidRPr="00DF52A5">
        <w:rPr>
          <w:rFonts w:ascii="Arial" w:hAnsi="Arial" w:cs="Arial"/>
          <w:b/>
          <w:sz w:val="28"/>
          <w:szCs w:val="28"/>
        </w:rPr>
        <w:t xml:space="preserve">Coffin Bay coastal waters </w:t>
      </w:r>
      <w:r>
        <w:rPr>
          <w:rFonts w:ascii="Arial" w:hAnsi="Arial" w:cs="Arial"/>
          <w:b/>
          <w:sz w:val="28"/>
          <w:szCs w:val="28"/>
        </w:rPr>
        <w:t xml:space="preserve">baseline study; report on </w:t>
      </w:r>
      <w:r>
        <w:rPr>
          <w:rFonts w:ascii="Arial" w:hAnsi="Arial" w:cs="Arial"/>
          <w:b/>
          <w:sz w:val="28"/>
          <w:szCs w:val="28"/>
        </w:rPr>
        <w:t>subtidal soft sediments</w:t>
      </w:r>
    </w:p>
    <w:p w14:paraId="5B8D673F" w14:textId="77777777" w:rsidR="00181154" w:rsidRDefault="00C771DD" w:rsidP="00181154">
      <w:pPr>
        <w:jc w:val="center"/>
        <w:rPr>
          <w:rFonts w:ascii="Arial" w:hAnsi="Arial" w:cs="Arial"/>
          <w:b/>
          <w:sz w:val="28"/>
          <w:szCs w:val="28"/>
        </w:rPr>
      </w:pPr>
      <w:r w:rsidRPr="00287BAD">
        <w:rPr>
          <w:rFonts w:ascii="Arial" w:hAnsi="Arial" w:cs="Arial"/>
          <w:b/>
          <w:noProof/>
          <w:sz w:val="28"/>
          <w:szCs w:val="28"/>
          <w:lang w:eastAsia="en-AU"/>
        </w:rPr>
        <w:drawing>
          <wp:inline distT="0" distB="0" distL="0" distR="0" wp14:anchorId="5B8D6777" wp14:editId="5B8D6778">
            <wp:extent cx="5705475" cy="4279106"/>
            <wp:effectExtent l="0" t="0" r="0" b="7620"/>
            <wp:docPr id="13" name="Picture 13" descr="V:\Biology\dittmann_lab\Coffin Bay 2016\Site Photos &amp; Videos\General Pictures\Boat\P90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Biology\dittmann_lab\Coffin Bay 2016\Site Photos &amp; Videos\General Pictures\Boat\P905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2109" cy="4284082"/>
                    </a:xfrm>
                    <a:prstGeom prst="rect">
                      <a:avLst/>
                    </a:prstGeom>
                    <a:noFill/>
                    <a:ln>
                      <a:noFill/>
                    </a:ln>
                  </pic:spPr>
                </pic:pic>
              </a:graphicData>
            </a:graphic>
          </wp:inline>
        </w:drawing>
      </w:r>
    </w:p>
    <w:p w14:paraId="5B8D6740" w14:textId="77777777" w:rsidR="00181154" w:rsidRDefault="00C771DD" w:rsidP="00181154">
      <w:pPr>
        <w:jc w:val="center"/>
        <w:rPr>
          <w:rFonts w:ascii="Arial" w:hAnsi="Arial" w:cs="Arial"/>
          <w:b/>
          <w:sz w:val="28"/>
          <w:szCs w:val="28"/>
        </w:rPr>
      </w:pPr>
    </w:p>
    <w:p w14:paraId="5B8D6741" w14:textId="77777777" w:rsidR="00181154" w:rsidRDefault="00C771DD" w:rsidP="00181154">
      <w:pPr>
        <w:jc w:val="center"/>
        <w:rPr>
          <w:rFonts w:ascii="Arial" w:hAnsi="Arial" w:cs="Arial"/>
          <w:sz w:val="24"/>
          <w:szCs w:val="24"/>
        </w:rPr>
      </w:pPr>
    </w:p>
    <w:p w14:paraId="5B8D6742" w14:textId="77777777" w:rsidR="00181154" w:rsidRDefault="00C771DD" w:rsidP="00181154">
      <w:pPr>
        <w:jc w:val="center"/>
        <w:rPr>
          <w:rFonts w:ascii="Arial" w:hAnsi="Arial" w:cs="Arial"/>
          <w:i/>
          <w:sz w:val="24"/>
          <w:szCs w:val="24"/>
        </w:rPr>
      </w:pPr>
      <w:r>
        <w:rPr>
          <w:rFonts w:ascii="Arial" w:hAnsi="Arial" w:cs="Arial"/>
          <w:sz w:val="24"/>
          <w:szCs w:val="24"/>
        </w:rPr>
        <w:t>S. Dittmann &amp;</w:t>
      </w:r>
      <w:r>
        <w:rPr>
          <w:rFonts w:ascii="Arial" w:hAnsi="Arial" w:cs="Arial"/>
          <w:sz w:val="24"/>
          <w:szCs w:val="24"/>
        </w:rPr>
        <w:t xml:space="preserve"> R. Baring</w:t>
      </w:r>
    </w:p>
    <w:p w14:paraId="5B8D6743" w14:textId="77777777" w:rsidR="00181154" w:rsidRPr="00181154" w:rsidRDefault="00C771DD" w:rsidP="00181154">
      <w:pPr>
        <w:jc w:val="center"/>
        <w:rPr>
          <w:rFonts w:cs="Arial"/>
          <w:sz w:val="20"/>
          <w:szCs w:val="20"/>
        </w:rPr>
      </w:pPr>
      <w:r>
        <w:rPr>
          <w:rFonts w:cs="Arial"/>
          <w:noProof/>
          <w:lang w:eastAsia="en-AU"/>
        </w:rPr>
        <w:drawing>
          <wp:inline distT="0" distB="0" distL="0" distR="0" wp14:anchorId="5B8D6779" wp14:editId="5B8D677A">
            <wp:extent cx="2098675" cy="757555"/>
            <wp:effectExtent l="0" t="0" r="0" b="4445"/>
            <wp:docPr id="5" name="Picture 5" descr="Long, colour, 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colour, F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675" cy="757555"/>
                    </a:xfrm>
                    <a:prstGeom prst="rect">
                      <a:avLst/>
                    </a:prstGeom>
                    <a:noFill/>
                    <a:ln>
                      <a:noFill/>
                    </a:ln>
                  </pic:spPr>
                </pic:pic>
              </a:graphicData>
            </a:graphic>
          </wp:inline>
        </w:drawing>
      </w:r>
    </w:p>
    <w:p w14:paraId="5B8D6744" w14:textId="77777777" w:rsidR="00181154" w:rsidRPr="00181154" w:rsidRDefault="00C771DD" w:rsidP="00181154">
      <w:pPr>
        <w:jc w:val="center"/>
        <w:rPr>
          <w:rFonts w:cs="Arial"/>
          <w:sz w:val="20"/>
          <w:szCs w:val="20"/>
        </w:rPr>
      </w:pPr>
    </w:p>
    <w:p w14:paraId="5B8D6745" w14:textId="77777777" w:rsidR="00CF2817" w:rsidRPr="00181154" w:rsidRDefault="00C771DD" w:rsidP="00181154">
      <w:pPr>
        <w:jc w:val="center"/>
        <w:rPr>
          <w:rFonts w:ascii="Arial" w:hAnsi="Arial" w:cs="Arial"/>
          <w:i/>
          <w:sz w:val="20"/>
          <w:szCs w:val="20"/>
        </w:rPr>
      </w:pPr>
      <w:r w:rsidRPr="00181154">
        <w:rPr>
          <w:rFonts w:ascii="Arial" w:hAnsi="Arial" w:cs="Arial"/>
          <w:sz w:val="20"/>
          <w:szCs w:val="20"/>
        </w:rPr>
        <w:t>Prepared for Department of Environment, Water and Natural Resources and Eyre Peninsula Natural Resources Management Board</w:t>
      </w:r>
    </w:p>
    <w:p w14:paraId="5B8D6746" w14:textId="77777777" w:rsidR="00181154" w:rsidRDefault="00C771DD" w:rsidP="00181154">
      <w:pPr>
        <w:jc w:val="center"/>
        <w:rPr>
          <w:rFonts w:ascii="Arial" w:hAnsi="Arial" w:cs="Arial"/>
          <w:i/>
          <w:sz w:val="24"/>
          <w:szCs w:val="24"/>
        </w:rPr>
      </w:pPr>
    </w:p>
    <w:p w14:paraId="5B8D6747" w14:textId="77777777" w:rsidR="00181154" w:rsidRPr="00CF2817" w:rsidRDefault="00C771DD" w:rsidP="00181154">
      <w:pPr>
        <w:jc w:val="center"/>
        <w:rPr>
          <w:rFonts w:ascii="Arial" w:hAnsi="Arial" w:cs="Arial"/>
          <w:i/>
          <w:sz w:val="24"/>
          <w:szCs w:val="24"/>
        </w:rPr>
      </w:pPr>
    </w:p>
    <w:p w14:paraId="5B8D6748" w14:textId="77777777" w:rsidR="00181154" w:rsidRDefault="00C771DD" w:rsidP="004D0B9C">
      <w:pPr>
        <w:rPr>
          <w:rFonts w:ascii="Arial" w:hAnsi="Arial" w:cs="Arial"/>
          <w:b/>
          <w:i/>
        </w:rPr>
      </w:pPr>
      <w:r>
        <w:rPr>
          <w:rFonts w:ascii="Arial" w:hAnsi="Arial" w:cs="Arial"/>
          <w:b/>
          <w:i/>
        </w:rPr>
        <w:br w:type="page"/>
      </w:r>
    </w:p>
    <w:p w14:paraId="5B8D6749" w14:textId="77777777" w:rsidR="004D0B9C" w:rsidRPr="00397680" w:rsidRDefault="00C771DD" w:rsidP="004D0B9C">
      <w:pPr>
        <w:rPr>
          <w:rFonts w:ascii="Arial" w:hAnsi="Arial" w:cs="Arial"/>
          <w:b/>
          <w:i/>
        </w:rPr>
      </w:pPr>
      <w:r w:rsidRPr="00397680">
        <w:rPr>
          <w:rFonts w:ascii="Arial" w:hAnsi="Arial" w:cs="Arial"/>
          <w:b/>
          <w:i/>
        </w:rPr>
        <w:lastRenderedPageBreak/>
        <w:t>Overview</w:t>
      </w:r>
    </w:p>
    <w:p w14:paraId="5B8D674A" w14:textId="77777777" w:rsidR="00F530C2" w:rsidRPr="00F530C2" w:rsidRDefault="00C771DD" w:rsidP="004D0B9C">
      <w:pPr>
        <w:rPr>
          <w:rFonts w:ascii="Arial" w:hAnsi="Arial" w:cs="Arial"/>
        </w:rPr>
      </w:pPr>
      <w:r w:rsidRPr="00F530C2">
        <w:rPr>
          <w:rFonts w:ascii="Arial" w:hAnsi="Arial" w:cs="Arial"/>
        </w:rPr>
        <w:t xml:space="preserve">The Coffin Bay coastal waters study was implemented as a baseline assessment of multiple coastal and marine habitats throughout the South Australian Marine Park zones within the open and semi-enclosed bays of the region. This </w:t>
      </w:r>
      <w:r>
        <w:rPr>
          <w:rFonts w:ascii="Arial" w:hAnsi="Arial" w:cs="Arial"/>
        </w:rPr>
        <w:t xml:space="preserve">brief summary </w:t>
      </w:r>
      <w:r w:rsidRPr="00F530C2">
        <w:rPr>
          <w:rFonts w:ascii="Arial" w:hAnsi="Arial" w:cs="Arial"/>
        </w:rPr>
        <w:t xml:space="preserve">report provides </w:t>
      </w:r>
      <w:r w:rsidRPr="00F530C2">
        <w:rPr>
          <w:rFonts w:ascii="Arial" w:hAnsi="Arial" w:cs="Arial"/>
        </w:rPr>
        <w:t xml:space="preserve">an assessment of the subtidal soft sediment habitat component of the Coffin Bay coastal waters </w:t>
      </w:r>
      <w:r>
        <w:rPr>
          <w:rFonts w:ascii="Arial" w:hAnsi="Arial" w:cs="Arial"/>
        </w:rPr>
        <w:t>study. Six subtidal soft sediment sites represented two of each of; General Managed Use Zones (GMUZ), Habitat Protection Zones (HPZ) and Sanctuary Zones (SZ) (Fi</w:t>
      </w:r>
      <w:r>
        <w:rPr>
          <w:rFonts w:ascii="Arial" w:hAnsi="Arial" w:cs="Arial"/>
        </w:rPr>
        <w:t xml:space="preserve">gure 1). </w:t>
      </w:r>
      <w:r>
        <w:rPr>
          <w:rFonts w:ascii="Arial" w:hAnsi="Arial" w:cs="Arial"/>
        </w:rPr>
        <w:t xml:space="preserve">Sites were selected based on accessibility within each zone and were distributed </w:t>
      </w:r>
      <w:r>
        <w:rPr>
          <w:rFonts w:ascii="Arial" w:hAnsi="Arial" w:cs="Arial"/>
        </w:rPr>
        <w:t>by</w:t>
      </w:r>
      <w:r>
        <w:rPr>
          <w:rFonts w:ascii="Arial" w:hAnsi="Arial" w:cs="Arial"/>
        </w:rPr>
        <w:t xml:space="preserve"> two sites within each zoning type to gain spatial representation of Marine Park zoning in the region. Key </w:t>
      </w:r>
      <w:r>
        <w:rPr>
          <w:rFonts w:ascii="Arial" w:hAnsi="Arial" w:cs="Arial"/>
        </w:rPr>
        <w:t xml:space="preserve">benthic </w:t>
      </w:r>
      <w:r>
        <w:rPr>
          <w:rFonts w:ascii="Arial" w:hAnsi="Arial" w:cs="Arial"/>
        </w:rPr>
        <w:t>macroinvertebrate taxa, species diversity and com</w:t>
      </w:r>
      <w:r>
        <w:rPr>
          <w:rFonts w:ascii="Arial" w:hAnsi="Arial" w:cs="Arial"/>
        </w:rPr>
        <w:t xml:space="preserve">munity assemblages were assessed between </w:t>
      </w:r>
      <w:r>
        <w:rPr>
          <w:rFonts w:ascii="Arial" w:hAnsi="Arial" w:cs="Arial"/>
        </w:rPr>
        <w:t xml:space="preserve">zoned </w:t>
      </w:r>
      <w:r>
        <w:rPr>
          <w:rFonts w:ascii="Arial" w:hAnsi="Arial" w:cs="Arial"/>
        </w:rPr>
        <w:t>sites</w:t>
      </w:r>
      <w:r>
        <w:rPr>
          <w:rFonts w:ascii="Arial" w:hAnsi="Arial" w:cs="Arial"/>
        </w:rPr>
        <w:t xml:space="preserve">. </w:t>
      </w:r>
    </w:p>
    <w:p w14:paraId="5B8D674B" w14:textId="77777777" w:rsidR="002223E4" w:rsidRDefault="00C771DD" w:rsidP="004D0B9C">
      <w:pPr>
        <w:rPr>
          <w:rFonts w:ascii="Arial" w:hAnsi="Arial" w:cs="Arial"/>
        </w:rPr>
      </w:pPr>
      <w:r>
        <w:rPr>
          <w:rFonts w:ascii="Arial" w:hAnsi="Arial" w:cs="Arial"/>
        </w:rPr>
        <w:br w:type="page"/>
      </w:r>
    </w:p>
    <w:p w14:paraId="5B8D674C" w14:textId="77777777" w:rsidR="00B87258" w:rsidRDefault="00C771DD" w:rsidP="004D0B9C">
      <w:pPr>
        <w:rPr>
          <w:rFonts w:ascii="Arial" w:hAnsi="Arial" w:cs="Arial"/>
        </w:rPr>
      </w:pPr>
      <w:r>
        <w:rPr>
          <w:rFonts w:ascii="Arial" w:hAnsi="Arial" w:cs="Arial"/>
        </w:rPr>
        <w:lastRenderedPageBreak/>
        <w:t xml:space="preserve"> </w:t>
      </w:r>
      <w:r w:rsidRPr="004E4F0A">
        <w:rPr>
          <w:noProof/>
          <w:lang w:eastAsia="en-AU"/>
        </w:rPr>
        <w:drawing>
          <wp:inline distT="0" distB="0" distL="0" distR="0" wp14:anchorId="5B8D677B" wp14:editId="5B8D677C">
            <wp:extent cx="6645910" cy="4836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4836851"/>
                    </a:xfrm>
                    <a:prstGeom prst="rect">
                      <a:avLst/>
                    </a:prstGeom>
                    <a:noFill/>
                    <a:ln>
                      <a:noFill/>
                    </a:ln>
                  </pic:spPr>
                </pic:pic>
              </a:graphicData>
            </a:graphic>
          </wp:inline>
        </w:drawing>
      </w:r>
      <w:r>
        <w:rPr>
          <w:rFonts w:ascii="Arial" w:hAnsi="Arial" w:cs="Arial"/>
        </w:rPr>
        <w:t xml:space="preserve"> </w:t>
      </w:r>
    </w:p>
    <w:p w14:paraId="5B8D674D" w14:textId="77777777" w:rsidR="00484AB7" w:rsidRDefault="00C771DD" w:rsidP="004D0B9C">
      <w:pPr>
        <w:rPr>
          <w:rFonts w:ascii="Arial" w:hAnsi="Arial" w:cs="Arial"/>
        </w:rPr>
      </w:pPr>
      <w:r>
        <w:rPr>
          <w:rFonts w:ascii="Arial" w:hAnsi="Arial" w:cs="Arial"/>
        </w:rPr>
        <w:t>Figure 1:</w:t>
      </w:r>
      <w:r>
        <w:rPr>
          <w:rFonts w:ascii="Arial" w:hAnsi="Arial" w:cs="Arial"/>
        </w:rPr>
        <w:t xml:space="preserve"> Sampling design used for Coffin Bay coastal waters study of Marine Park zones (SZ, Sanctu</w:t>
      </w:r>
      <w:r>
        <w:rPr>
          <w:rFonts w:ascii="Arial" w:hAnsi="Arial" w:cs="Arial"/>
        </w:rPr>
        <w:t>a</w:t>
      </w:r>
      <w:r>
        <w:rPr>
          <w:rFonts w:ascii="Arial" w:hAnsi="Arial" w:cs="Arial"/>
        </w:rPr>
        <w:t xml:space="preserve">ry Zone; HPZ, Habitat Protection Zone; </w:t>
      </w:r>
      <w:r>
        <w:rPr>
          <w:rFonts w:ascii="Arial" w:hAnsi="Arial" w:cs="Arial"/>
        </w:rPr>
        <w:t xml:space="preserve">GMUZ, General Managed Use Zone). Sites were: Kellidie Bay GMUZ1; Port Douglas GMUZ3, Mount Dutton Bay entrance MDHPZ1; Eely Point between White LADY Rock and Rabbit Island EPHPZ1; Eely Point SZ1; and Kellidie Bay SZ3. </w:t>
      </w:r>
      <w:r>
        <w:rPr>
          <w:rFonts w:ascii="Arial" w:hAnsi="Arial" w:cs="Arial"/>
        </w:rPr>
        <w:t>Coffin Bay map shows each site locatio</w:t>
      </w:r>
      <w:r>
        <w:rPr>
          <w:rFonts w:ascii="Arial" w:hAnsi="Arial" w:cs="Arial"/>
        </w:rPr>
        <w:t xml:space="preserve">n for </w:t>
      </w:r>
      <w:r>
        <w:rPr>
          <w:rFonts w:ascii="Arial" w:hAnsi="Arial" w:cs="Arial"/>
        </w:rPr>
        <w:t>subtidal soft sediment sites that were</w:t>
      </w:r>
      <w:r>
        <w:rPr>
          <w:rFonts w:ascii="Arial" w:hAnsi="Arial" w:cs="Arial"/>
        </w:rPr>
        <w:t xml:space="preserve"> sampled during the September 2016 field trip</w:t>
      </w:r>
      <w:r>
        <w:rPr>
          <w:rFonts w:ascii="Arial" w:hAnsi="Arial" w:cs="Arial"/>
        </w:rPr>
        <w:t>s</w:t>
      </w:r>
      <w:r>
        <w:rPr>
          <w:rFonts w:ascii="Arial" w:hAnsi="Arial" w:cs="Arial"/>
        </w:rPr>
        <w:t>.</w:t>
      </w:r>
    </w:p>
    <w:p w14:paraId="5B8D674E" w14:textId="77777777" w:rsidR="00A84E50" w:rsidRPr="00A84E50" w:rsidRDefault="00C771DD">
      <w:pPr>
        <w:rPr>
          <w:rFonts w:ascii="Arial" w:hAnsi="Arial" w:cs="Arial"/>
        </w:rPr>
      </w:pPr>
      <w:r>
        <w:rPr>
          <w:rFonts w:ascii="Arial" w:hAnsi="Arial" w:cs="Arial"/>
        </w:rPr>
        <w:br w:type="page"/>
      </w:r>
    </w:p>
    <w:p w14:paraId="5B8D674F" w14:textId="77777777" w:rsidR="00A84E50" w:rsidRPr="00E778C4" w:rsidRDefault="00C771DD">
      <w:pPr>
        <w:rPr>
          <w:rFonts w:ascii="Arial" w:hAnsi="Arial" w:cs="Arial"/>
          <w:b/>
          <w:i/>
        </w:rPr>
      </w:pPr>
      <w:r w:rsidRPr="00E778C4">
        <w:rPr>
          <w:rFonts w:ascii="Arial" w:hAnsi="Arial" w:cs="Arial"/>
          <w:b/>
          <w:i/>
        </w:rPr>
        <w:lastRenderedPageBreak/>
        <w:t>Methods</w:t>
      </w:r>
    </w:p>
    <w:p w14:paraId="5B8D6750" w14:textId="77777777" w:rsidR="00A84E50" w:rsidRDefault="00C771DD" w:rsidP="00A84E50">
      <w:pPr>
        <w:rPr>
          <w:rFonts w:ascii="Arial" w:hAnsi="Arial" w:cs="Arial"/>
        </w:rPr>
      </w:pPr>
      <w:r w:rsidRPr="00E778C4">
        <w:rPr>
          <w:rFonts w:ascii="Arial" w:hAnsi="Arial" w:cs="Arial"/>
        </w:rPr>
        <w:t>Field sampling across the six subtidal soft sediment sites occurred in September 2016 in water depths ranging from 2 to 7.5 m at distances between 200 and</w:t>
      </w:r>
      <w:r w:rsidRPr="00E778C4">
        <w:rPr>
          <w:rFonts w:ascii="Arial" w:hAnsi="Arial" w:cs="Arial"/>
        </w:rPr>
        <w:t xml:space="preserve"> 400 m from shore</w:t>
      </w:r>
      <w:r>
        <w:rPr>
          <w:rFonts w:ascii="Arial" w:hAnsi="Arial" w:cs="Arial"/>
        </w:rPr>
        <w:t xml:space="preserve"> from the DEWNR vessel “Nuytilus”</w:t>
      </w:r>
      <w:r w:rsidRPr="00E778C4">
        <w:rPr>
          <w:rFonts w:ascii="Arial" w:hAnsi="Arial" w:cs="Arial"/>
        </w:rPr>
        <w:t>. At each site, 10 replicate samples were obtained by benthic grab (Ekman grab 225 cm</w:t>
      </w:r>
      <w:r w:rsidRPr="00E778C4">
        <w:rPr>
          <w:rFonts w:ascii="Arial" w:hAnsi="Arial" w:cs="Arial"/>
          <w:vertAlign w:val="superscript"/>
        </w:rPr>
        <w:t>2</w:t>
      </w:r>
      <w:r w:rsidRPr="00E778C4">
        <w:rPr>
          <w:rFonts w:ascii="Arial" w:hAnsi="Arial" w:cs="Arial"/>
        </w:rPr>
        <w:t xml:space="preserve"> surface area) and sediment was sieved over 500 µm mesh size to remove fine sediments but retain all macrofauna.</w:t>
      </w:r>
      <w:r>
        <w:rPr>
          <w:rFonts w:ascii="Arial" w:hAnsi="Arial" w:cs="Arial"/>
        </w:rPr>
        <w:t xml:space="preserve"> </w:t>
      </w:r>
      <w:r>
        <w:rPr>
          <w:rFonts w:ascii="Arial" w:hAnsi="Arial" w:cs="Arial"/>
        </w:rPr>
        <w:t>Most si</w:t>
      </w:r>
      <w:r>
        <w:rPr>
          <w:rFonts w:ascii="Arial" w:hAnsi="Arial" w:cs="Arial"/>
        </w:rPr>
        <w:t xml:space="preserve">tes had similar sediment consistency of sand except the MDHPZ1 site, which consisted of very fine anoxic sediment. </w:t>
      </w:r>
      <w:r>
        <w:rPr>
          <w:rFonts w:ascii="Arial" w:hAnsi="Arial" w:cs="Arial"/>
        </w:rPr>
        <w:t>All macrofauna were fixed in 10 % buffered formalin for transport back to Flinders University. During laboratory processing, samples were rinsed to remove excess formalin residue and macrofauna were sorted, identified to the lowest possible taxonomic level</w:t>
      </w:r>
      <w:r>
        <w:rPr>
          <w:rFonts w:ascii="Arial" w:hAnsi="Arial" w:cs="Arial"/>
        </w:rPr>
        <w:t xml:space="preserve"> and counted before being preserved in vials of 70 % ethanol for long-term storage. </w:t>
      </w:r>
    </w:p>
    <w:p w14:paraId="5B8D6751" w14:textId="77777777" w:rsidR="007B5C79" w:rsidRPr="007B5C79" w:rsidRDefault="00C771DD" w:rsidP="003C06B7">
      <w:pPr>
        <w:rPr>
          <w:rFonts w:ascii="Arial" w:hAnsi="Arial" w:cs="Arial"/>
        </w:rPr>
      </w:pPr>
      <w:r>
        <w:rPr>
          <w:rFonts w:ascii="Arial" w:hAnsi="Arial" w:cs="Arial"/>
        </w:rPr>
        <w:t>Macrofauna data w</w:t>
      </w:r>
      <w:r>
        <w:rPr>
          <w:rFonts w:ascii="Arial" w:hAnsi="Arial" w:cs="Arial"/>
        </w:rPr>
        <w:t>ere</w:t>
      </w:r>
      <w:r>
        <w:rPr>
          <w:rFonts w:ascii="Arial" w:hAnsi="Arial" w:cs="Arial"/>
        </w:rPr>
        <w:t xml:space="preserve"> standardised to individuals per m</w:t>
      </w:r>
      <w:r w:rsidRPr="007B5C79">
        <w:rPr>
          <w:rFonts w:ascii="Arial" w:hAnsi="Arial" w:cs="Arial"/>
          <w:vertAlign w:val="superscript"/>
        </w:rPr>
        <w:t>2</w:t>
      </w:r>
      <w:r>
        <w:rPr>
          <w:rFonts w:ascii="Arial" w:hAnsi="Arial" w:cs="Arial"/>
        </w:rPr>
        <w:t xml:space="preserve"> before diversity indices were calculated (Pielou’s evenness, Shannon Wiener diversity, Simpson’s Index) using the D</w:t>
      </w:r>
      <w:r>
        <w:rPr>
          <w:rFonts w:ascii="Arial" w:hAnsi="Arial" w:cs="Arial"/>
        </w:rPr>
        <w:t>IVERSE function in PRIMER V.7.</w:t>
      </w:r>
      <w:r>
        <w:rPr>
          <w:rFonts w:ascii="Arial" w:hAnsi="Arial" w:cs="Arial"/>
        </w:rPr>
        <w:t xml:space="preserve"> Univariate PERMANOVA tests based on the factor of sites were undertaken on Euclidean distance matrices for annelids, crustaceans, molluscs and total macroinvertebrate abundances. </w:t>
      </w:r>
      <w:r>
        <w:rPr>
          <w:rFonts w:ascii="Arial" w:hAnsi="Arial" w:cs="Arial"/>
        </w:rPr>
        <w:t>Multivariate PERMANOVA was conducted on macroi</w:t>
      </w:r>
      <w:r>
        <w:rPr>
          <w:rFonts w:ascii="Arial" w:hAnsi="Arial" w:cs="Arial"/>
        </w:rPr>
        <w:t>nvertebrate community data based on Bray-Curtis similarities to determine if there was any difference between sites. CLUSTER analyses with SIMPROF tests was also conducted to determine which site and replicate groupings were dissimilar.</w:t>
      </w:r>
      <w:r w:rsidRPr="003C06B7">
        <w:rPr>
          <w:rFonts w:ascii="Arial" w:hAnsi="Arial" w:cs="Arial"/>
        </w:rPr>
        <w:t xml:space="preserve"> </w:t>
      </w:r>
      <w:r>
        <w:rPr>
          <w:rFonts w:ascii="Arial" w:hAnsi="Arial" w:cs="Arial"/>
        </w:rPr>
        <w:t>All macrofauna data</w:t>
      </w:r>
      <w:r>
        <w:rPr>
          <w:rFonts w:ascii="Arial" w:hAnsi="Arial" w:cs="Arial"/>
        </w:rPr>
        <w:t xml:space="preserve"> were fourth-root transformed before analyses using the PRIMER 7 &amp; PERMANOVA + software package.</w:t>
      </w:r>
    </w:p>
    <w:p w14:paraId="5B8D6752" w14:textId="77777777" w:rsidR="00A84E50" w:rsidRPr="00A84E50" w:rsidRDefault="00C771DD">
      <w:pPr>
        <w:rPr>
          <w:rFonts w:ascii="Arial" w:hAnsi="Arial" w:cs="Arial"/>
          <w:b/>
        </w:rPr>
      </w:pPr>
      <w:r w:rsidRPr="00A84E50">
        <w:rPr>
          <w:rFonts w:ascii="Arial" w:hAnsi="Arial" w:cs="Arial"/>
          <w:b/>
        </w:rPr>
        <w:br w:type="page"/>
      </w:r>
    </w:p>
    <w:p w14:paraId="5B8D6753" w14:textId="77777777" w:rsidR="00484AB7" w:rsidRDefault="00C771DD">
      <w:pPr>
        <w:rPr>
          <w:rFonts w:ascii="Arial" w:hAnsi="Arial" w:cs="Arial"/>
          <w:b/>
          <w:i/>
        </w:rPr>
      </w:pPr>
      <w:r w:rsidRPr="00E778C4">
        <w:rPr>
          <w:rFonts w:ascii="Arial" w:hAnsi="Arial" w:cs="Arial"/>
          <w:b/>
          <w:i/>
        </w:rPr>
        <w:t>Results</w:t>
      </w:r>
      <w:r w:rsidRPr="00E778C4">
        <w:rPr>
          <w:rFonts w:ascii="Arial" w:hAnsi="Arial" w:cs="Arial"/>
          <w:b/>
          <w:i/>
        </w:rPr>
        <w:t xml:space="preserve"> </w:t>
      </w:r>
    </w:p>
    <w:p w14:paraId="5B8D6754" w14:textId="77777777" w:rsidR="00CB570F" w:rsidRDefault="00C771DD">
      <w:pPr>
        <w:rPr>
          <w:rFonts w:ascii="Arial" w:hAnsi="Arial" w:cs="Arial"/>
          <w:i/>
        </w:rPr>
      </w:pPr>
      <w:r>
        <w:rPr>
          <w:rFonts w:ascii="Arial" w:hAnsi="Arial" w:cs="Arial"/>
          <w:i/>
        </w:rPr>
        <w:t xml:space="preserve">Species </w:t>
      </w:r>
      <w:r w:rsidRPr="00CB570F">
        <w:rPr>
          <w:rFonts w:ascii="Arial" w:hAnsi="Arial" w:cs="Arial"/>
          <w:i/>
        </w:rPr>
        <w:t>diversity</w:t>
      </w:r>
    </w:p>
    <w:p w14:paraId="5B8D6755" w14:textId="77777777" w:rsidR="004A5D3A" w:rsidRDefault="00C771DD">
      <w:pPr>
        <w:rPr>
          <w:rFonts w:ascii="Arial" w:hAnsi="Arial" w:cs="Arial"/>
        </w:rPr>
      </w:pPr>
      <w:r>
        <w:rPr>
          <w:rFonts w:ascii="Arial" w:hAnsi="Arial" w:cs="Arial"/>
        </w:rPr>
        <w:t xml:space="preserve">In total, 59 taxa </w:t>
      </w:r>
      <w:r>
        <w:rPr>
          <w:rFonts w:ascii="Arial" w:hAnsi="Arial" w:cs="Arial"/>
        </w:rPr>
        <w:t xml:space="preserve">were </w:t>
      </w:r>
      <w:r>
        <w:rPr>
          <w:rFonts w:ascii="Arial" w:hAnsi="Arial" w:cs="Arial"/>
        </w:rPr>
        <w:t>recorded across all sites</w:t>
      </w:r>
      <w:r>
        <w:rPr>
          <w:rFonts w:ascii="Arial" w:hAnsi="Arial" w:cs="Arial"/>
        </w:rPr>
        <w:t>,</w:t>
      </w:r>
      <w:r>
        <w:rPr>
          <w:rFonts w:ascii="Arial" w:hAnsi="Arial" w:cs="Arial"/>
        </w:rPr>
        <w:t xml:space="preserve"> which consisted of 18 annelid, 17 mollusc and 16 crustacean taxa</w:t>
      </w:r>
      <w:r>
        <w:rPr>
          <w:rFonts w:ascii="Arial" w:hAnsi="Arial" w:cs="Arial"/>
        </w:rPr>
        <w:t xml:space="preserve"> (Table 1)</w:t>
      </w:r>
      <w:r>
        <w:rPr>
          <w:rFonts w:ascii="Arial" w:hAnsi="Arial" w:cs="Arial"/>
        </w:rPr>
        <w:t xml:space="preserve">. </w:t>
      </w:r>
      <w:r>
        <w:rPr>
          <w:rFonts w:ascii="Arial" w:hAnsi="Arial" w:cs="Arial"/>
        </w:rPr>
        <w:t xml:space="preserve">The </w:t>
      </w:r>
      <w:r>
        <w:rPr>
          <w:rFonts w:ascii="Arial" w:hAnsi="Arial" w:cs="Arial"/>
        </w:rPr>
        <w:t>highest numbers of taxa were recorded</w:t>
      </w:r>
      <w:r>
        <w:rPr>
          <w:rFonts w:ascii="Arial" w:hAnsi="Arial" w:cs="Arial"/>
        </w:rPr>
        <w:t xml:space="preserve"> at the EPHPZ1 and SZ1 sites</w:t>
      </w:r>
      <w:r>
        <w:rPr>
          <w:rFonts w:ascii="Arial" w:hAnsi="Arial" w:cs="Arial"/>
        </w:rPr>
        <w:t>, while</w:t>
      </w:r>
      <w:r>
        <w:rPr>
          <w:rFonts w:ascii="Arial" w:hAnsi="Arial" w:cs="Arial"/>
        </w:rPr>
        <w:t xml:space="preserve"> the lowest number of </w:t>
      </w:r>
      <w:r>
        <w:rPr>
          <w:rFonts w:ascii="Arial" w:hAnsi="Arial" w:cs="Arial"/>
        </w:rPr>
        <w:t>taxa</w:t>
      </w:r>
      <w:r>
        <w:rPr>
          <w:rFonts w:ascii="Arial" w:hAnsi="Arial" w:cs="Arial"/>
        </w:rPr>
        <w:t xml:space="preserve"> </w:t>
      </w:r>
      <w:r>
        <w:rPr>
          <w:rFonts w:ascii="Arial" w:hAnsi="Arial" w:cs="Arial"/>
        </w:rPr>
        <w:t xml:space="preserve">was </w:t>
      </w:r>
      <w:r>
        <w:rPr>
          <w:rFonts w:ascii="Arial" w:hAnsi="Arial" w:cs="Arial"/>
        </w:rPr>
        <w:t>at the SZ3 site</w:t>
      </w:r>
      <w:r>
        <w:rPr>
          <w:rFonts w:ascii="Arial" w:hAnsi="Arial" w:cs="Arial"/>
        </w:rPr>
        <w:t xml:space="preserve"> (Table 2</w:t>
      </w:r>
      <w:r>
        <w:rPr>
          <w:rFonts w:ascii="Arial" w:hAnsi="Arial" w:cs="Arial"/>
        </w:rPr>
        <w:t>). Taxa richness and diversity based on various indices were highest at the EPHPZ1 and SZ1 sites and had the most even contributi</w:t>
      </w:r>
      <w:r>
        <w:rPr>
          <w:rFonts w:ascii="Arial" w:hAnsi="Arial" w:cs="Arial"/>
        </w:rPr>
        <w:t>on across all taxa recorded within those sites (Table 2). In comparison, the species richness, diversity and evenness of taxa represented at GMUZ3 were quite low (Table 2).</w:t>
      </w:r>
    </w:p>
    <w:p w14:paraId="5B8D6756" w14:textId="77777777" w:rsidR="005318C7" w:rsidRDefault="00C771DD">
      <w:pPr>
        <w:rPr>
          <w:rFonts w:ascii="Arial" w:hAnsi="Arial" w:cs="Arial"/>
        </w:rPr>
      </w:pPr>
      <w:r>
        <w:rPr>
          <w:rFonts w:ascii="Arial" w:hAnsi="Arial" w:cs="Arial"/>
        </w:rPr>
        <w:br w:type="page"/>
      </w:r>
    </w:p>
    <w:p w14:paraId="5B8D6757" w14:textId="77777777" w:rsidR="005318C7" w:rsidRDefault="00C771DD">
      <w:pPr>
        <w:rPr>
          <w:rFonts w:ascii="Arial" w:hAnsi="Arial" w:cs="Arial"/>
        </w:rPr>
      </w:pPr>
      <w:r>
        <w:rPr>
          <w:rFonts w:ascii="Arial" w:hAnsi="Arial" w:cs="Arial"/>
        </w:rPr>
        <w:t>Table 1: List of taxa recorded across all six sites throughout Coffin Bay</w:t>
      </w:r>
      <w:r>
        <w:rPr>
          <w:rFonts w:ascii="Arial" w:hAnsi="Arial" w:cs="Arial"/>
        </w:rPr>
        <w:t xml:space="preserve"> Marine Park Zones</w:t>
      </w:r>
      <w:r>
        <w:rPr>
          <w:rFonts w:ascii="Arial" w:hAnsi="Arial" w:cs="Arial"/>
        </w:rPr>
        <w:t xml:space="preserve">. </w:t>
      </w:r>
      <w:r>
        <w:rPr>
          <w:rStyle w:val="CommentReference"/>
        </w:rPr>
        <w:commentReference w:id="1"/>
      </w:r>
    </w:p>
    <w:p w14:paraId="5B8D6758" w14:textId="77777777" w:rsidR="00CB570F" w:rsidRPr="00CB570F" w:rsidRDefault="00C771DD" w:rsidP="002140D1">
      <w:pPr>
        <w:jc w:val="center"/>
        <w:rPr>
          <w:rFonts w:ascii="Arial" w:hAnsi="Arial" w:cs="Arial"/>
        </w:rPr>
      </w:pPr>
      <w:r w:rsidRPr="00313459">
        <w:rPr>
          <w:noProof/>
          <w:lang w:eastAsia="en-AU"/>
        </w:rPr>
        <w:drawing>
          <wp:inline distT="0" distB="0" distL="0" distR="0" wp14:anchorId="5B8D677D" wp14:editId="5B8D677E">
            <wp:extent cx="6645910" cy="907015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9070157"/>
                    </a:xfrm>
                    <a:prstGeom prst="rect">
                      <a:avLst/>
                    </a:prstGeom>
                    <a:noFill/>
                    <a:ln>
                      <a:noFill/>
                    </a:ln>
                  </pic:spPr>
                </pic:pic>
              </a:graphicData>
            </a:graphic>
          </wp:inline>
        </w:drawing>
      </w:r>
    </w:p>
    <w:p w14:paraId="5B8D6759" w14:textId="77777777" w:rsidR="00AE4D8D" w:rsidRDefault="00C771DD" w:rsidP="00122029">
      <w:pPr>
        <w:rPr>
          <w:rFonts w:ascii="Arial" w:hAnsi="Arial" w:cs="Arial"/>
        </w:rPr>
      </w:pPr>
    </w:p>
    <w:p w14:paraId="5B8D675A" w14:textId="77777777" w:rsidR="002223E4" w:rsidRDefault="00C771DD" w:rsidP="00122029">
      <w:pPr>
        <w:rPr>
          <w:rFonts w:ascii="Arial" w:hAnsi="Arial" w:cs="Arial"/>
        </w:rPr>
      </w:pPr>
      <w:r>
        <w:rPr>
          <w:rFonts w:ascii="Arial" w:hAnsi="Arial" w:cs="Arial"/>
        </w:rPr>
        <w:t xml:space="preserve">Table </w:t>
      </w:r>
      <w:r>
        <w:rPr>
          <w:rFonts w:ascii="Arial" w:hAnsi="Arial" w:cs="Arial"/>
        </w:rPr>
        <w:t>2</w:t>
      </w:r>
      <w:r>
        <w:rPr>
          <w:rFonts w:ascii="Arial" w:hAnsi="Arial" w:cs="Arial"/>
        </w:rPr>
        <w:t xml:space="preserve">: </w:t>
      </w:r>
      <w:r>
        <w:rPr>
          <w:rFonts w:ascii="Arial" w:hAnsi="Arial" w:cs="Arial"/>
        </w:rPr>
        <w:t xml:space="preserve">Total number of taxa, abundance of all taxa, taxa richness, evenness of taxa and two diversity indices (Shannon Wiener and Simpson’s) recorded for each site in Coffin Bay Marine Park Zones. </w:t>
      </w:r>
    </w:p>
    <w:p w14:paraId="5B8D675B" w14:textId="77777777" w:rsidR="00122029" w:rsidRDefault="00C771DD" w:rsidP="00484AB7">
      <w:pPr>
        <w:jc w:val="center"/>
        <w:rPr>
          <w:rFonts w:ascii="Arial" w:hAnsi="Arial" w:cs="Arial"/>
        </w:rPr>
      </w:pPr>
      <w:r w:rsidRPr="00313459">
        <w:rPr>
          <w:noProof/>
          <w:lang w:eastAsia="en-AU"/>
        </w:rPr>
        <w:drawing>
          <wp:inline distT="0" distB="0" distL="0" distR="0" wp14:anchorId="5B8D677F" wp14:editId="5B8D6780">
            <wp:extent cx="6038850" cy="1352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1053" cy="1357941"/>
                    </a:xfrm>
                    <a:prstGeom prst="rect">
                      <a:avLst/>
                    </a:prstGeom>
                    <a:noFill/>
                    <a:ln>
                      <a:noFill/>
                    </a:ln>
                  </pic:spPr>
                </pic:pic>
              </a:graphicData>
            </a:graphic>
          </wp:inline>
        </w:drawing>
      </w:r>
    </w:p>
    <w:p w14:paraId="5B8D675C" w14:textId="77777777" w:rsidR="006A37BE" w:rsidRDefault="00C771DD" w:rsidP="004D0B9C">
      <w:pPr>
        <w:rPr>
          <w:rFonts w:ascii="Arial" w:hAnsi="Arial" w:cs="Arial"/>
          <w:i/>
          <w:noProof/>
          <w:lang w:eastAsia="en-AU"/>
        </w:rPr>
      </w:pPr>
    </w:p>
    <w:p w14:paraId="5B8D675D" w14:textId="77777777" w:rsidR="004A5D3A" w:rsidRDefault="00C771DD" w:rsidP="004D0B9C">
      <w:pPr>
        <w:rPr>
          <w:rFonts w:ascii="Arial" w:hAnsi="Arial" w:cs="Arial"/>
          <w:i/>
          <w:noProof/>
          <w:lang w:eastAsia="en-AU"/>
        </w:rPr>
      </w:pPr>
      <w:r w:rsidRPr="004A5D3A">
        <w:rPr>
          <w:rFonts w:ascii="Arial" w:hAnsi="Arial" w:cs="Arial"/>
          <w:i/>
          <w:noProof/>
          <w:lang w:eastAsia="en-AU"/>
        </w:rPr>
        <w:t>Abundances</w:t>
      </w:r>
    </w:p>
    <w:p w14:paraId="5B8D675E" w14:textId="77777777" w:rsidR="008E156E" w:rsidRDefault="00C771DD" w:rsidP="004D0B9C">
      <w:pPr>
        <w:rPr>
          <w:rFonts w:ascii="Arial" w:hAnsi="Arial" w:cs="Arial"/>
          <w:noProof/>
          <w:lang w:eastAsia="en-AU"/>
        </w:rPr>
      </w:pPr>
      <w:r>
        <w:rPr>
          <w:rStyle w:val="CommentReference"/>
        </w:rPr>
        <w:commentReference w:id="2"/>
      </w:r>
    </w:p>
    <w:p w14:paraId="5B8D675F" w14:textId="77777777" w:rsidR="006A37BE" w:rsidRDefault="00C771DD" w:rsidP="004D0B9C">
      <w:pPr>
        <w:rPr>
          <w:rFonts w:ascii="Arial" w:hAnsi="Arial" w:cs="Arial"/>
          <w:noProof/>
          <w:lang w:eastAsia="en-AU"/>
        </w:rPr>
      </w:pPr>
      <w:r>
        <w:rPr>
          <w:rFonts w:ascii="Arial" w:hAnsi="Arial" w:cs="Arial"/>
          <w:noProof/>
          <w:lang w:eastAsia="en-AU"/>
        </w:rPr>
        <w:t xml:space="preserve">Total </w:t>
      </w:r>
      <w:r>
        <w:rPr>
          <w:rFonts w:ascii="Arial" w:hAnsi="Arial" w:cs="Arial"/>
          <w:noProof/>
          <w:lang w:eastAsia="en-AU"/>
        </w:rPr>
        <w:t>abundances of all macroinvertebrates were similar and not significantly different between sites (PERMANOVA Pseudo F 1.5, p &gt; 0.05) (Figure 2). There was large variability in total abundances overall with ranges between 4 to &gt; 400 individuals per m</w:t>
      </w:r>
      <w:r w:rsidRPr="00313459">
        <w:rPr>
          <w:rFonts w:ascii="Arial" w:hAnsi="Arial" w:cs="Arial"/>
          <w:noProof/>
          <w:vertAlign w:val="superscript"/>
          <w:lang w:eastAsia="en-AU"/>
        </w:rPr>
        <w:t>2</w:t>
      </w:r>
      <w:r>
        <w:rPr>
          <w:rFonts w:ascii="Arial" w:hAnsi="Arial" w:cs="Arial"/>
          <w:noProof/>
          <w:lang w:eastAsia="en-AU"/>
        </w:rPr>
        <w:t>. Howeve</w:t>
      </w:r>
      <w:r>
        <w:rPr>
          <w:rFonts w:ascii="Arial" w:hAnsi="Arial" w:cs="Arial"/>
          <w:noProof/>
          <w:lang w:eastAsia="en-AU"/>
        </w:rPr>
        <w:t xml:space="preserve">r, abundances of major phyla/higher taxa differed significantly across sites in Marine Park Zones. </w:t>
      </w:r>
      <w:r>
        <w:rPr>
          <w:rFonts w:ascii="Arial" w:hAnsi="Arial" w:cs="Arial"/>
          <w:noProof/>
          <w:lang w:eastAsia="en-AU"/>
        </w:rPr>
        <w:t xml:space="preserve">Abundances of </w:t>
      </w:r>
      <w:r>
        <w:rPr>
          <w:rFonts w:ascii="Arial" w:hAnsi="Arial" w:cs="Arial"/>
          <w:noProof/>
          <w:lang w:eastAsia="en-AU"/>
        </w:rPr>
        <w:t xml:space="preserve">annelids were </w:t>
      </w:r>
      <w:r>
        <w:rPr>
          <w:rFonts w:ascii="Arial" w:hAnsi="Arial" w:cs="Arial"/>
          <w:noProof/>
          <w:lang w:eastAsia="en-AU"/>
        </w:rPr>
        <w:t>significantly different between sites (PERMANOVA Pseudo F 6.4, p = 0.001</w:t>
      </w:r>
      <w:r>
        <w:rPr>
          <w:rFonts w:ascii="Arial" w:hAnsi="Arial" w:cs="Arial"/>
          <w:noProof/>
          <w:lang w:eastAsia="en-AU"/>
        </w:rPr>
        <w:t>) which was due to the differences between both HPZ sites</w:t>
      </w:r>
      <w:r>
        <w:rPr>
          <w:rFonts w:ascii="Arial" w:hAnsi="Arial" w:cs="Arial"/>
          <w:noProof/>
          <w:lang w:eastAsia="en-AU"/>
        </w:rPr>
        <w:t xml:space="preserve"> versus the GMUZ sites and both the SPZ sites versus the GMUZ3 site</w:t>
      </w:r>
      <w:r>
        <w:rPr>
          <w:rFonts w:ascii="Arial" w:hAnsi="Arial" w:cs="Arial"/>
          <w:noProof/>
          <w:lang w:eastAsia="en-AU"/>
        </w:rPr>
        <w:t>,</w:t>
      </w:r>
      <w:r>
        <w:rPr>
          <w:rFonts w:ascii="Arial" w:hAnsi="Arial" w:cs="Arial"/>
          <w:noProof/>
          <w:lang w:eastAsia="en-AU"/>
        </w:rPr>
        <w:t xml:space="preserve"> where the lowest abundances were recorded (Figure 2). The species contributing most to the higher abundances at HPZ sites were the polychaetes </w:t>
      </w:r>
      <w:r w:rsidRPr="00EB35C1">
        <w:rPr>
          <w:rFonts w:ascii="Arial" w:hAnsi="Arial" w:cs="Arial"/>
          <w:i/>
          <w:noProof/>
          <w:lang w:eastAsia="en-AU"/>
        </w:rPr>
        <w:t>Nephtys</w:t>
      </w:r>
      <w:r>
        <w:rPr>
          <w:rFonts w:ascii="Arial" w:hAnsi="Arial" w:cs="Arial"/>
          <w:noProof/>
          <w:lang w:eastAsia="en-AU"/>
        </w:rPr>
        <w:t xml:space="preserve"> sp.1 at MDHPZ1 and Dorvilleidae sp.1</w:t>
      </w:r>
      <w:r>
        <w:rPr>
          <w:rFonts w:ascii="Arial" w:hAnsi="Arial" w:cs="Arial"/>
          <w:noProof/>
          <w:lang w:eastAsia="en-AU"/>
        </w:rPr>
        <w:t xml:space="preserve"> and Orbinidae sp. 1 at EPHPZ1. </w:t>
      </w:r>
      <w:r>
        <w:rPr>
          <w:rFonts w:ascii="Arial" w:hAnsi="Arial" w:cs="Arial"/>
          <w:noProof/>
          <w:lang w:eastAsia="en-AU"/>
        </w:rPr>
        <w:t>Molluscs were most abundant at the MDHPZ1 site and significantly different to all other sites (PERMANOVA Pseudo F 3.7, p = 0.006)</w:t>
      </w:r>
      <w:r>
        <w:rPr>
          <w:rFonts w:ascii="Arial" w:hAnsi="Arial" w:cs="Arial"/>
          <w:noProof/>
          <w:lang w:eastAsia="en-AU"/>
        </w:rPr>
        <w:t xml:space="preserve"> (Figure 2)</w:t>
      </w:r>
      <w:r>
        <w:rPr>
          <w:rFonts w:ascii="Arial" w:hAnsi="Arial" w:cs="Arial"/>
          <w:noProof/>
          <w:lang w:eastAsia="en-AU"/>
        </w:rPr>
        <w:t xml:space="preserve">. The main species contributing to higher abundances at MDHPZ1 was the bivalve </w:t>
      </w:r>
      <w:r w:rsidRPr="00025CBF">
        <w:rPr>
          <w:rFonts w:ascii="Arial" w:hAnsi="Arial" w:cs="Arial"/>
          <w:i/>
          <w:noProof/>
          <w:lang w:eastAsia="en-AU"/>
        </w:rPr>
        <w:t>Paphi</w:t>
      </w:r>
      <w:r w:rsidRPr="00025CBF">
        <w:rPr>
          <w:rFonts w:ascii="Arial" w:hAnsi="Arial" w:cs="Arial"/>
          <w:i/>
          <w:noProof/>
          <w:lang w:eastAsia="en-AU"/>
        </w:rPr>
        <w:t>es cuneata</w:t>
      </w:r>
      <w:r>
        <w:rPr>
          <w:rFonts w:ascii="Arial" w:hAnsi="Arial" w:cs="Arial"/>
          <w:noProof/>
          <w:lang w:eastAsia="en-AU"/>
        </w:rPr>
        <w:t xml:space="preserve">. </w:t>
      </w:r>
      <w:r>
        <w:rPr>
          <w:rFonts w:ascii="Arial" w:hAnsi="Arial" w:cs="Arial"/>
          <w:noProof/>
          <w:lang w:eastAsia="en-AU"/>
        </w:rPr>
        <w:t>Crustaceans were significantly greater in abundance at the GMUZ3 site compared to both HPZ sites and the SZ3 site (PERMANOVA Pseudo F 3.6, p = 0.005) (Figure 2). The higher abundances of crustaceans was mainly attributed to consistently large abundances of</w:t>
      </w:r>
      <w:r>
        <w:rPr>
          <w:rFonts w:ascii="Arial" w:hAnsi="Arial" w:cs="Arial"/>
          <w:noProof/>
          <w:lang w:eastAsia="en-AU"/>
        </w:rPr>
        <w:t xml:space="preserve"> amphipods (Gammaridae sp.3, </w:t>
      </w:r>
      <w:r w:rsidRPr="00E82D80">
        <w:rPr>
          <w:rFonts w:ascii="Arial" w:hAnsi="Arial" w:cs="Arial"/>
          <w:i/>
          <w:noProof/>
          <w:lang w:eastAsia="en-AU"/>
        </w:rPr>
        <w:t>Haustorius</w:t>
      </w:r>
      <w:r>
        <w:rPr>
          <w:rFonts w:ascii="Arial" w:hAnsi="Arial" w:cs="Arial"/>
          <w:noProof/>
          <w:lang w:eastAsia="en-AU"/>
        </w:rPr>
        <w:t xml:space="preserve"> sp. 1) and tanaids Tanaidae sp. 1, Apseudidae sp.1). The GMUZ1 site also had significantly higher crustacean abundances than SZ3. </w:t>
      </w:r>
      <w:r>
        <w:rPr>
          <w:rFonts w:ascii="Arial" w:hAnsi="Arial" w:cs="Arial"/>
          <w:noProof/>
          <w:lang w:eastAsia="en-AU"/>
        </w:rPr>
        <w:t>Crustacean abundances were also significantly different between t</w:t>
      </w:r>
      <w:r>
        <w:rPr>
          <w:rFonts w:ascii="Arial" w:hAnsi="Arial" w:cs="Arial"/>
          <w:noProof/>
          <w:lang w:eastAsia="en-AU"/>
        </w:rPr>
        <w:t>he SZ3 and SZ1 sites.</w:t>
      </w:r>
      <w:r>
        <w:rPr>
          <w:rFonts w:ascii="Arial" w:hAnsi="Arial" w:cs="Arial"/>
          <w:noProof/>
          <w:lang w:eastAsia="en-AU"/>
        </w:rPr>
        <w:t xml:space="preserve"> </w:t>
      </w:r>
      <w:r>
        <w:rPr>
          <w:rStyle w:val="CommentReference"/>
        </w:rPr>
        <w:commentReference w:id="3"/>
      </w:r>
    </w:p>
    <w:p w14:paraId="5B8D6760" w14:textId="77777777" w:rsidR="006A37BE" w:rsidRDefault="00C771DD">
      <w:pPr>
        <w:rPr>
          <w:rFonts w:ascii="Arial" w:hAnsi="Arial" w:cs="Arial"/>
          <w:noProof/>
          <w:lang w:eastAsia="en-AU"/>
        </w:rPr>
      </w:pPr>
      <w:r>
        <w:rPr>
          <w:rFonts w:ascii="Arial" w:hAnsi="Arial" w:cs="Arial"/>
          <w:noProof/>
          <w:lang w:eastAsia="en-AU"/>
        </w:rPr>
        <w:br w:type="page"/>
      </w:r>
    </w:p>
    <w:p w14:paraId="5B8D6761" w14:textId="77777777" w:rsidR="004A5D3A" w:rsidRPr="00025CBF" w:rsidRDefault="00C771DD" w:rsidP="004D0B9C">
      <w:pPr>
        <w:rPr>
          <w:rFonts w:ascii="Arial" w:hAnsi="Arial" w:cs="Arial"/>
          <w:noProof/>
          <w:lang w:eastAsia="en-AU"/>
        </w:rPr>
      </w:pPr>
    </w:p>
    <w:p w14:paraId="5B8D6762" w14:textId="77777777" w:rsidR="004E4F0A" w:rsidRDefault="00C771DD" w:rsidP="004D0B9C">
      <w:pPr>
        <w:rPr>
          <w:rFonts w:ascii="Arial" w:hAnsi="Arial" w:cs="Arial"/>
        </w:rPr>
      </w:pPr>
      <w:r w:rsidRPr="004E4F0A">
        <w:rPr>
          <w:rFonts w:ascii="Arial" w:hAnsi="Arial" w:cs="Arial"/>
          <w:noProof/>
          <w:lang w:eastAsia="en-AU"/>
        </w:rPr>
        <w:drawing>
          <wp:inline distT="0" distB="0" distL="0" distR="0" wp14:anchorId="5B8D6781" wp14:editId="5B8D6782">
            <wp:extent cx="6667500" cy="4802107"/>
            <wp:effectExtent l="0" t="0" r="0" b="0"/>
            <wp:docPr id="1" name="Picture 1" descr="V:\Biology\dittmann_lab\Coffin Bay 2016\Subtidal report\Abundances_subtid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iology\dittmann_lab\Coffin Bay 2016\Subtidal report\Abundances_subtidal.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85" t="5950" r="7533" b="6852"/>
                    <a:stretch/>
                  </pic:blipFill>
                  <pic:spPr bwMode="auto">
                    <a:xfrm>
                      <a:off x="0" y="0"/>
                      <a:ext cx="6677728" cy="4809473"/>
                    </a:xfrm>
                    <a:prstGeom prst="rect">
                      <a:avLst/>
                    </a:prstGeom>
                    <a:noFill/>
                    <a:ln>
                      <a:noFill/>
                    </a:ln>
                    <a:extLst>
                      <a:ext uri="{53640926-AAD7-44D8-BBD7-CCE9431645EC}">
                        <a14:shadowObscured xmlns:a14="http://schemas.microsoft.com/office/drawing/2010/main"/>
                      </a:ext>
                    </a:extLst>
                  </pic:spPr>
                </pic:pic>
              </a:graphicData>
            </a:graphic>
          </wp:inline>
        </w:drawing>
      </w:r>
    </w:p>
    <w:p w14:paraId="5B8D6763" w14:textId="77777777" w:rsidR="004E4F0A" w:rsidRDefault="00C771DD" w:rsidP="004D0B9C">
      <w:pPr>
        <w:rPr>
          <w:rFonts w:ascii="Arial" w:hAnsi="Arial" w:cs="Arial"/>
        </w:rPr>
      </w:pPr>
      <w:r>
        <w:rPr>
          <w:rFonts w:ascii="Arial" w:hAnsi="Arial" w:cs="Arial"/>
        </w:rPr>
        <w:t xml:space="preserve">Figure 2: </w:t>
      </w:r>
      <w:r>
        <w:rPr>
          <w:rFonts w:ascii="Arial" w:hAnsi="Arial" w:cs="Arial"/>
        </w:rPr>
        <w:t>Boxplots (</w:t>
      </w:r>
      <w:r>
        <w:rPr>
          <w:rFonts w:ascii="Arial" w:hAnsi="Arial" w:cs="Arial"/>
        </w:rPr>
        <w:t xml:space="preserve">median, </w:t>
      </w:r>
      <w:r>
        <w:rPr>
          <w:rFonts w:ascii="Arial" w:hAnsi="Arial" w:cs="Arial"/>
        </w:rPr>
        <w:t>25</w:t>
      </w:r>
      <w:r w:rsidRPr="004A5D3A">
        <w:rPr>
          <w:rFonts w:ascii="Arial" w:hAnsi="Arial" w:cs="Arial"/>
          <w:vertAlign w:val="superscript"/>
        </w:rPr>
        <w:t>th</w:t>
      </w:r>
      <w:r>
        <w:rPr>
          <w:rFonts w:ascii="Arial" w:hAnsi="Arial" w:cs="Arial"/>
        </w:rPr>
        <w:t xml:space="preserve"> &amp; 75</w:t>
      </w:r>
      <w:r w:rsidRPr="004A5D3A">
        <w:rPr>
          <w:rFonts w:ascii="Arial" w:hAnsi="Arial" w:cs="Arial"/>
          <w:vertAlign w:val="superscript"/>
        </w:rPr>
        <w:t>th</w:t>
      </w:r>
      <w:r>
        <w:rPr>
          <w:rFonts w:ascii="Arial" w:hAnsi="Arial" w:cs="Arial"/>
        </w:rPr>
        <w:t xml:space="preserve"> percentiles) of key taxonomic group abundances and total abundances of all taxa recorded at sites in Coffin Bay Marine Park Zones. </w:t>
      </w:r>
    </w:p>
    <w:p w14:paraId="5B8D6764" w14:textId="77777777" w:rsidR="002223E4" w:rsidRDefault="00C771DD" w:rsidP="004D0B9C">
      <w:pPr>
        <w:rPr>
          <w:rFonts w:ascii="Arial" w:hAnsi="Arial" w:cs="Arial"/>
        </w:rPr>
      </w:pPr>
      <w:r>
        <w:rPr>
          <w:rFonts w:ascii="Arial" w:hAnsi="Arial" w:cs="Arial"/>
        </w:rPr>
        <w:br w:type="page"/>
      </w:r>
    </w:p>
    <w:p w14:paraId="5B8D6765" w14:textId="77777777" w:rsidR="006A37BE" w:rsidRDefault="00C771DD" w:rsidP="004D0B9C">
      <w:pPr>
        <w:rPr>
          <w:rFonts w:ascii="Arial" w:hAnsi="Arial" w:cs="Arial"/>
          <w:i/>
          <w:noProof/>
          <w:lang w:eastAsia="en-AU"/>
        </w:rPr>
      </w:pPr>
      <w:r w:rsidRPr="006A37BE">
        <w:rPr>
          <w:rFonts w:ascii="Arial" w:hAnsi="Arial" w:cs="Arial"/>
          <w:i/>
          <w:noProof/>
          <w:lang w:eastAsia="en-AU"/>
        </w:rPr>
        <w:t>Macroinvertebrate community structure</w:t>
      </w:r>
    </w:p>
    <w:p w14:paraId="5B8D6766" w14:textId="77777777" w:rsidR="00847750" w:rsidRDefault="00C771DD" w:rsidP="004D0B9C">
      <w:pPr>
        <w:rPr>
          <w:rFonts w:ascii="Arial" w:hAnsi="Arial" w:cs="Arial"/>
          <w:noProof/>
          <w:lang w:eastAsia="en-AU"/>
        </w:rPr>
      </w:pPr>
      <w:r>
        <w:rPr>
          <w:rFonts w:ascii="Arial" w:hAnsi="Arial" w:cs="Arial"/>
          <w:noProof/>
          <w:lang w:eastAsia="en-AU"/>
        </w:rPr>
        <w:t xml:space="preserve">Macroinvertebrate communities were significantly different between most sites </w:t>
      </w:r>
      <w:r>
        <w:rPr>
          <w:rFonts w:ascii="Arial" w:hAnsi="Arial" w:cs="Arial"/>
          <w:noProof/>
          <w:lang w:eastAsia="en-AU"/>
        </w:rPr>
        <w:t xml:space="preserve">(SIMPROF, p &lt; 0.05) </w:t>
      </w:r>
      <w:r>
        <w:rPr>
          <w:rFonts w:ascii="Arial" w:hAnsi="Arial" w:cs="Arial"/>
          <w:noProof/>
          <w:lang w:eastAsia="en-AU"/>
        </w:rPr>
        <w:t xml:space="preserve">except for the HPZ sites which grouped together with similar community structure (Figure 3a). The grouping of the HPZ sites was due to the large contribution </w:t>
      </w:r>
      <w:r>
        <w:rPr>
          <w:rFonts w:ascii="Arial" w:hAnsi="Arial" w:cs="Arial"/>
          <w:noProof/>
          <w:lang w:eastAsia="en-AU"/>
        </w:rPr>
        <w:t xml:space="preserve">of various species of </w:t>
      </w:r>
      <w:r>
        <w:rPr>
          <w:rFonts w:ascii="Arial" w:hAnsi="Arial" w:cs="Arial"/>
          <w:noProof/>
          <w:lang w:eastAsia="en-AU"/>
        </w:rPr>
        <w:t xml:space="preserve">annelids (mainly polychaetes) at those sites (Figure 3b). </w:t>
      </w:r>
      <w:r>
        <w:rPr>
          <w:rFonts w:ascii="Arial" w:hAnsi="Arial" w:cs="Arial"/>
          <w:noProof/>
          <w:lang w:eastAsia="en-AU"/>
        </w:rPr>
        <w:t>Eac</w:t>
      </w:r>
      <w:r>
        <w:rPr>
          <w:rFonts w:ascii="Arial" w:hAnsi="Arial" w:cs="Arial"/>
          <w:noProof/>
          <w:lang w:eastAsia="en-AU"/>
        </w:rPr>
        <w:t xml:space="preserve">h of the GMUZ and SZ sites were </w:t>
      </w:r>
      <w:r>
        <w:rPr>
          <w:rFonts w:ascii="Arial" w:hAnsi="Arial" w:cs="Arial"/>
          <w:noProof/>
          <w:lang w:eastAsia="en-AU"/>
        </w:rPr>
        <w:t xml:space="preserve">unique in </w:t>
      </w:r>
      <w:r>
        <w:rPr>
          <w:rFonts w:ascii="Arial" w:hAnsi="Arial" w:cs="Arial"/>
          <w:noProof/>
          <w:lang w:eastAsia="en-AU"/>
        </w:rPr>
        <w:t xml:space="preserve">macroinvertebrate </w:t>
      </w:r>
      <w:r>
        <w:rPr>
          <w:rFonts w:ascii="Arial" w:hAnsi="Arial" w:cs="Arial"/>
          <w:noProof/>
          <w:lang w:eastAsia="en-AU"/>
        </w:rPr>
        <w:t>community structure but some of the main contributo</w:t>
      </w:r>
      <w:r>
        <w:rPr>
          <w:rFonts w:ascii="Arial" w:hAnsi="Arial" w:cs="Arial"/>
          <w:noProof/>
          <w:lang w:eastAsia="en-AU"/>
        </w:rPr>
        <w:t>rs for each of those sites were:</w:t>
      </w:r>
      <w:r>
        <w:rPr>
          <w:rFonts w:ascii="Arial" w:hAnsi="Arial" w:cs="Arial"/>
          <w:noProof/>
          <w:lang w:eastAsia="en-AU"/>
        </w:rPr>
        <w:t xml:space="preserve"> </w:t>
      </w:r>
      <w:r>
        <w:rPr>
          <w:rFonts w:ascii="Arial" w:hAnsi="Arial" w:cs="Arial"/>
          <w:noProof/>
          <w:lang w:eastAsia="en-AU"/>
        </w:rPr>
        <w:t xml:space="preserve">GMUZ, the bivalve </w:t>
      </w:r>
      <w:r w:rsidRPr="00847750">
        <w:rPr>
          <w:rFonts w:ascii="Arial" w:hAnsi="Arial" w:cs="Arial"/>
          <w:i/>
          <w:noProof/>
          <w:lang w:eastAsia="en-AU"/>
        </w:rPr>
        <w:t>Paphies cun</w:t>
      </w:r>
      <w:r w:rsidRPr="00847750">
        <w:rPr>
          <w:rFonts w:ascii="Arial" w:hAnsi="Arial" w:cs="Arial"/>
          <w:i/>
          <w:noProof/>
          <w:lang w:eastAsia="en-AU"/>
        </w:rPr>
        <w:t>eata</w:t>
      </w:r>
      <w:r>
        <w:rPr>
          <w:rFonts w:ascii="Arial" w:hAnsi="Arial" w:cs="Arial"/>
          <w:noProof/>
          <w:lang w:eastAsia="en-AU"/>
        </w:rPr>
        <w:t xml:space="preserve">, polychate Nereididae sp.1 and isopod </w:t>
      </w:r>
      <w:r w:rsidRPr="00847750">
        <w:rPr>
          <w:rFonts w:ascii="Arial" w:hAnsi="Arial" w:cs="Arial"/>
          <w:i/>
          <w:noProof/>
          <w:lang w:eastAsia="en-AU"/>
        </w:rPr>
        <w:t>Platynympha longicauda</w:t>
      </w:r>
      <w:r>
        <w:rPr>
          <w:rFonts w:ascii="Arial" w:hAnsi="Arial" w:cs="Arial"/>
          <w:noProof/>
          <w:lang w:eastAsia="en-AU"/>
        </w:rPr>
        <w:t xml:space="preserve">; GMUZ3, tanaids, amphipods and ostracods; SZ1, the polychates Nephtys sp. 1 and Syllidae sp. 1, and amphipods; SZ3, the bivalve </w:t>
      </w:r>
      <w:r w:rsidRPr="00847750">
        <w:rPr>
          <w:rFonts w:ascii="Arial" w:hAnsi="Arial" w:cs="Arial"/>
          <w:i/>
          <w:noProof/>
          <w:lang w:eastAsia="en-AU"/>
        </w:rPr>
        <w:t>P. cuneata</w:t>
      </w:r>
      <w:r>
        <w:rPr>
          <w:rFonts w:ascii="Arial" w:hAnsi="Arial" w:cs="Arial"/>
          <w:noProof/>
          <w:lang w:eastAsia="en-AU"/>
        </w:rPr>
        <w:t xml:space="preserve">, isopod </w:t>
      </w:r>
      <w:r w:rsidRPr="00847750">
        <w:rPr>
          <w:rFonts w:ascii="Arial" w:hAnsi="Arial" w:cs="Arial"/>
          <w:i/>
          <w:noProof/>
          <w:lang w:eastAsia="en-AU"/>
        </w:rPr>
        <w:t>P. longicauda</w:t>
      </w:r>
      <w:r>
        <w:rPr>
          <w:rFonts w:ascii="Arial" w:hAnsi="Arial" w:cs="Arial"/>
          <w:noProof/>
          <w:lang w:eastAsia="en-AU"/>
        </w:rPr>
        <w:t xml:space="preserve"> and the polychaete Nereididae</w:t>
      </w:r>
      <w:r>
        <w:rPr>
          <w:rFonts w:ascii="Arial" w:hAnsi="Arial" w:cs="Arial"/>
          <w:noProof/>
          <w:lang w:eastAsia="en-AU"/>
        </w:rPr>
        <w:t xml:space="preserve"> sp. 1 (Figure 3b).</w:t>
      </w:r>
      <w:r>
        <w:rPr>
          <w:rFonts w:ascii="Arial" w:hAnsi="Arial" w:cs="Arial"/>
          <w:noProof/>
          <w:lang w:eastAsia="en-AU"/>
        </w:rPr>
        <w:t xml:space="preserve"> </w:t>
      </w:r>
    </w:p>
    <w:p w14:paraId="5B8D6767" w14:textId="77777777" w:rsidR="00847750" w:rsidRDefault="00C771DD">
      <w:pPr>
        <w:rPr>
          <w:rFonts w:ascii="Arial" w:hAnsi="Arial" w:cs="Arial"/>
          <w:noProof/>
          <w:lang w:eastAsia="en-AU"/>
        </w:rPr>
      </w:pPr>
      <w:r>
        <w:rPr>
          <w:rFonts w:ascii="Arial" w:hAnsi="Arial" w:cs="Arial"/>
          <w:noProof/>
          <w:lang w:eastAsia="en-AU"/>
        </w:rPr>
        <w:br w:type="page"/>
      </w:r>
    </w:p>
    <w:p w14:paraId="5B8D6768" w14:textId="77777777" w:rsidR="006A37BE" w:rsidRPr="006A37BE" w:rsidRDefault="00C771DD" w:rsidP="004D0B9C">
      <w:pPr>
        <w:rPr>
          <w:rFonts w:ascii="Arial" w:hAnsi="Arial" w:cs="Arial"/>
          <w:noProof/>
          <w:lang w:eastAsia="en-AU"/>
        </w:rPr>
      </w:pPr>
    </w:p>
    <w:p w14:paraId="5B8D6769" w14:textId="77777777" w:rsidR="00123881" w:rsidRPr="00123881" w:rsidRDefault="00C771DD" w:rsidP="004D0B9C">
      <w:pPr>
        <w:rPr>
          <w:rFonts w:ascii="Arial" w:hAnsi="Arial" w:cs="Arial"/>
          <w:noProof/>
          <w:lang w:eastAsia="en-AU"/>
        </w:rPr>
      </w:pPr>
      <w:r>
        <w:rPr>
          <w:rFonts w:ascii="Arial" w:hAnsi="Arial" w:cs="Arial"/>
          <w:noProof/>
          <w:lang w:eastAsia="en-AU"/>
        </w:rPr>
        <w:t>(a)</w:t>
      </w:r>
    </w:p>
    <w:p w14:paraId="5B8D676A" w14:textId="77777777" w:rsidR="00637854" w:rsidRDefault="00C771DD" w:rsidP="004D0B9C">
      <w:pPr>
        <w:rPr>
          <w:rFonts w:ascii="Arial" w:hAnsi="Arial" w:cs="Arial"/>
          <w:b/>
          <w:i/>
        </w:rPr>
      </w:pPr>
      <w:r w:rsidRPr="00637854">
        <w:rPr>
          <w:rFonts w:ascii="Arial" w:hAnsi="Arial" w:cs="Arial"/>
          <w:b/>
          <w:i/>
          <w:noProof/>
          <w:lang w:eastAsia="en-AU"/>
        </w:rPr>
        <w:drawing>
          <wp:inline distT="0" distB="0" distL="0" distR="0" wp14:anchorId="5B8D6783" wp14:editId="5B8D6784">
            <wp:extent cx="6638925" cy="3987226"/>
            <wp:effectExtent l="0" t="0" r="0" b="0"/>
            <wp:docPr id="16" name="Picture 16" descr="V:\Biology\dittmann_lab\Coffin Bay 2016\Clu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Biology\dittmann_lab\Coffin Bay 2016\Cluster.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6265" cy="3997640"/>
                    </a:xfrm>
                    <a:prstGeom prst="rect">
                      <a:avLst/>
                    </a:prstGeom>
                    <a:noFill/>
                    <a:ln>
                      <a:noFill/>
                    </a:ln>
                  </pic:spPr>
                </pic:pic>
              </a:graphicData>
            </a:graphic>
          </wp:inline>
        </w:drawing>
      </w:r>
    </w:p>
    <w:p w14:paraId="5B8D676B" w14:textId="77777777" w:rsidR="00123881" w:rsidRPr="00123881" w:rsidRDefault="00C771DD" w:rsidP="004D0B9C">
      <w:pPr>
        <w:rPr>
          <w:rFonts w:ascii="Arial" w:hAnsi="Arial" w:cs="Arial"/>
        </w:rPr>
      </w:pPr>
      <w:r w:rsidRPr="00123881">
        <w:rPr>
          <w:rFonts w:ascii="Arial" w:hAnsi="Arial" w:cs="Arial"/>
        </w:rPr>
        <w:t>(b)</w:t>
      </w:r>
    </w:p>
    <w:p w14:paraId="5B8D676C" w14:textId="77777777" w:rsidR="00637854" w:rsidRDefault="00C771DD" w:rsidP="004D0B9C">
      <w:pPr>
        <w:rPr>
          <w:rFonts w:ascii="Arial" w:hAnsi="Arial" w:cs="Arial"/>
          <w:b/>
          <w:i/>
        </w:rPr>
      </w:pPr>
      <w:r w:rsidRPr="00123881">
        <w:rPr>
          <w:rFonts w:ascii="Arial" w:hAnsi="Arial" w:cs="Arial"/>
          <w:b/>
          <w:i/>
          <w:noProof/>
          <w:lang w:eastAsia="en-AU"/>
        </w:rPr>
        <w:drawing>
          <wp:inline distT="0" distB="0" distL="0" distR="0" wp14:anchorId="5B8D6785" wp14:editId="5B8D6786">
            <wp:extent cx="6470943" cy="3819525"/>
            <wp:effectExtent l="0" t="0" r="6350" b="0"/>
            <wp:docPr id="10" name="Picture 10" descr="V:\Biology\dittmann_lab\Coffin Bay 2016\Samplesxspecies cluster and shade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Biology\dittmann_lab\Coffin Bay 2016\Samplesxspecies cluster and shadeplo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3212" cy="3832669"/>
                    </a:xfrm>
                    <a:prstGeom prst="rect">
                      <a:avLst/>
                    </a:prstGeom>
                    <a:noFill/>
                    <a:ln>
                      <a:noFill/>
                    </a:ln>
                  </pic:spPr>
                </pic:pic>
              </a:graphicData>
            </a:graphic>
          </wp:inline>
        </w:drawing>
      </w:r>
    </w:p>
    <w:p w14:paraId="5B8D676D" w14:textId="77777777" w:rsidR="004E4F0A" w:rsidRPr="004E4F0A" w:rsidRDefault="00C771DD" w:rsidP="004D0B9C">
      <w:pPr>
        <w:rPr>
          <w:rFonts w:ascii="Arial" w:hAnsi="Arial" w:cs="Arial"/>
        </w:rPr>
      </w:pPr>
      <w:r>
        <w:rPr>
          <w:rFonts w:ascii="Arial" w:hAnsi="Arial" w:cs="Arial"/>
        </w:rPr>
        <w:t>Figure 3: Macroinvertebrate community structure for six sites throughout Coffin Bay Marine Park Zones with dissimilarity in community structure identified as significant splits</w:t>
      </w:r>
      <w:r>
        <w:rPr>
          <w:rFonts w:ascii="Arial" w:hAnsi="Arial" w:cs="Arial"/>
        </w:rPr>
        <w:t xml:space="preserve"> by black lines</w:t>
      </w:r>
      <w:r>
        <w:rPr>
          <w:rFonts w:ascii="Arial" w:hAnsi="Arial" w:cs="Arial"/>
        </w:rPr>
        <w:t xml:space="preserve"> in the (a) cluster diagram </w:t>
      </w:r>
      <w:r>
        <w:rPr>
          <w:rFonts w:ascii="Arial" w:hAnsi="Arial" w:cs="Arial"/>
        </w:rPr>
        <w:t xml:space="preserve">based on SIMPROF tests </w:t>
      </w:r>
      <w:r>
        <w:rPr>
          <w:rFonts w:ascii="Arial" w:hAnsi="Arial" w:cs="Arial"/>
        </w:rPr>
        <w:t xml:space="preserve">and (b) the </w:t>
      </w:r>
      <w:r>
        <w:rPr>
          <w:rFonts w:ascii="Arial" w:hAnsi="Arial" w:cs="Arial"/>
        </w:rPr>
        <w:t xml:space="preserve">same </w:t>
      </w:r>
      <w:r>
        <w:rPr>
          <w:rFonts w:ascii="Arial" w:hAnsi="Arial" w:cs="Arial"/>
        </w:rPr>
        <w:t xml:space="preserve">cluster diagram represented with the most abundant 30 taxa contributing to macroinvertebrate communities identified by darker shading on shade plot. </w:t>
      </w:r>
    </w:p>
    <w:p w14:paraId="5B8D676E" w14:textId="77777777" w:rsidR="00A84E50" w:rsidRDefault="00C771DD" w:rsidP="004D0B9C">
      <w:pPr>
        <w:rPr>
          <w:rFonts w:ascii="Arial" w:hAnsi="Arial" w:cs="Arial"/>
          <w:b/>
          <w:i/>
        </w:rPr>
      </w:pPr>
      <w:r>
        <w:rPr>
          <w:rFonts w:ascii="Arial" w:hAnsi="Arial" w:cs="Arial"/>
          <w:b/>
          <w:i/>
        </w:rPr>
        <w:t>Discussion &amp; conclusion</w:t>
      </w:r>
    </w:p>
    <w:p w14:paraId="5B8D676F" w14:textId="77777777" w:rsidR="00903CEF" w:rsidRDefault="00C771DD" w:rsidP="005440A0">
      <w:pPr>
        <w:rPr>
          <w:rFonts w:ascii="Arial" w:hAnsi="Arial" w:cs="Arial"/>
          <w:noProof/>
          <w:lang w:eastAsia="en-AU"/>
        </w:rPr>
      </w:pPr>
      <w:r>
        <w:rPr>
          <w:rFonts w:ascii="Arial" w:hAnsi="Arial" w:cs="Arial"/>
          <w:noProof/>
          <w:lang w:eastAsia="en-AU"/>
        </w:rPr>
        <w:t xml:space="preserve">The high species diversity at the HPZ sites, differences in abundances of some key taxa (notably annelids at HPZ sites) and community structure </w:t>
      </w:r>
      <w:r>
        <w:rPr>
          <w:rFonts w:ascii="Arial" w:hAnsi="Arial" w:cs="Arial"/>
          <w:noProof/>
          <w:lang w:eastAsia="en-AU"/>
        </w:rPr>
        <w:t xml:space="preserve">of those </w:t>
      </w:r>
      <w:r>
        <w:rPr>
          <w:rFonts w:ascii="Arial" w:hAnsi="Arial" w:cs="Arial"/>
          <w:noProof/>
          <w:lang w:eastAsia="en-AU"/>
        </w:rPr>
        <w:t xml:space="preserve">sites </w:t>
      </w:r>
      <w:r>
        <w:rPr>
          <w:rFonts w:ascii="Arial" w:hAnsi="Arial" w:cs="Arial"/>
          <w:noProof/>
          <w:lang w:eastAsia="en-AU"/>
        </w:rPr>
        <w:t xml:space="preserve">with the SZ1 site </w:t>
      </w:r>
      <w:r>
        <w:rPr>
          <w:rFonts w:ascii="Arial" w:hAnsi="Arial" w:cs="Arial"/>
          <w:noProof/>
          <w:lang w:eastAsia="en-AU"/>
        </w:rPr>
        <w:t>may be due to sediment type as sediments at the HPZ sites were very fine sand c</w:t>
      </w:r>
      <w:r>
        <w:rPr>
          <w:rFonts w:ascii="Arial" w:hAnsi="Arial" w:cs="Arial"/>
          <w:noProof/>
          <w:lang w:eastAsia="en-AU"/>
        </w:rPr>
        <w:t xml:space="preserve">ompared to coarser sand </w:t>
      </w:r>
      <w:r>
        <w:rPr>
          <w:rFonts w:ascii="Arial" w:hAnsi="Arial" w:cs="Arial"/>
          <w:noProof/>
          <w:lang w:eastAsia="en-AU"/>
        </w:rPr>
        <w:t>around Port Douglas</w:t>
      </w:r>
      <w:r>
        <w:rPr>
          <w:rFonts w:ascii="Arial" w:hAnsi="Arial" w:cs="Arial"/>
          <w:noProof/>
          <w:lang w:eastAsia="en-AU"/>
        </w:rPr>
        <w:t xml:space="preserve"> (e.g. G</w:t>
      </w:r>
      <w:r>
        <w:rPr>
          <w:rFonts w:ascii="Arial" w:hAnsi="Arial" w:cs="Arial"/>
          <w:noProof/>
          <w:lang w:eastAsia="en-AU"/>
        </w:rPr>
        <w:t>M</w:t>
      </w:r>
      <w:r>
        <w:rPr>
          <w:rFonts w:ascii="Arial" w:hAnsi="Arial" w:cs="Arial"/>
          <w:noProof/>
          <w:lang w:eastAsia="en-AU"/>
        </w:rPr>
        <w:t>UZ3). The sites within Kellidie Bay may be different due to a number of different factors that warrant further investigation including freshwater inputs (e.g. groundwater, stream flows), slow tidal flows</w:t>
      </w:r>
      <w:r>
        <w:rPr>
          <w:rFonts w:ascii="Arial" w:hAnsi="Arial" w:cs="Arial"/>
          <w:noProof/>
          <w:lang w:eastAsia="en-AU"/>
        </w:rPr>
        <w:t xml:space="preserve"> </w:t>
      </w:r>
      <w:r>
        <w:rPr>
          <w:rFonts w:ascii="Arial" w:hAnsi="Arial" w:cs="Arial"/>
          <w:noProof/>
          <w:lang w:eastAsia="en-AU"/>
        </w:rPr>
        <w:t xml:space="preserve">(&gt; 100 days </w:t>
      </w:r>
      <w:r>
        <w:rPr>
          <w:rFonts w:ascii="Arial" w:hAnsi="Arial" w:cs="Arial"/>
          <w:noProof/>
          <w:lang w:eastAsia="en-AU"/>
        </w:rPr>
        <w:t>residency time of water parcels (</w:t>
      </w:r>
      <w:r>
        <w:rPr>
          <w:rFonts w:ascii="Arial" w:hAnsi="Arial" w:cs="Arial"/>
          <w:noProof/>
          <w:lang w:eastAsia="en-AU"/>
        </w:rPr>
        <w:t>see Kaempf and Ellis 2015)</w:t>
      </w:r>
      <w:r>
        <w:rPr>
          <w:rFonts w:ascii="Arial" w:hAnsi="Arial" w:cs="Arial"/>
          <w:noProof/>
          <w:lang w:eastAsia="en-AU"/>
        </w:rPr>
        <w:t xml:space="preserve"> and</w:t>
      </w:r>
      <w:r>
        <w:rPr>
          <w:rFonts w:ascii="Arial" w:hAnsi="Arial" w:cs="Arial"/>
          <w:noProof/>
          <w:lang w:eastAsia="en-AU"/>
        </w:rPr>
        <w:t xml:space="preserve"> accumulation of large amounts of detritus at the GMUZ1 site. </w:t>
      </w:r>
      <w:r>
        <w:rPr>
          <w:rFonts w:ascii="Arial" w:hAnsi="Arial" w:cs="Arial"/>
          <w:noProof/>
          <w:lang w:eastAsia="en-AU"/>
        </w:rPr>
        <w:t xml:space="preserve">Recent oceanographic modelling by Kaempf and Ellis (2015) also indicated that </w:t>
      </w:r>
      <w:r>
        <w:rPr>
          <w:rFonts w:ascii="Arial" w:hAnsi="Arial" w:cs="Arial"/>
          <w:noProof/>
          <w:lang w:eastAsia="en-AU"/>
        </w:rPr>
        <w:t xml:space="preserve">the locations of the studied </w:t>
      </w:r>
      <w:r>
        <w:rPr>
          <w:rFonts w:ascii="Arial" w:hAnsi="Arial" w:cs="Arial"/>
          <w:noProof/>
          <w:lang w:eastAsia="en-AU"/>
        </w:rPr>
        <w:t xml:space="preserve">HPZ sites </w:t>
      </w:r>
      <w:r>
        <w:rPr>
          <w:rFonts w:ascii="Arial" w:hAnsi="Arial" w:cs="Arial"/>
          <w:noProof/>
          <w:lang w:eastAsia="en-AU"/>
        </w:rPr>
        <w:t>ha</w:t>
      </w:r>
      <w:r>
        <w:rPr>
          <w:rFonts w:ascii="Arial" w:hAnsi="Arial" w:cs="Arial"/>
          <w:noProof/>
          <w:lang w:eastAsia="en-AU"/>
        </w:rPr>
        <w:t>ve a water parcel residency time of about 50 days, which might be more aligned with favourable estuarine conditions for many macroinvertebrate fauna</w:t>
      </w:r>
      <w:r>
        <w:rPr>
          <w:rFonts w:ascii="Arial" w:hAnsi="Arial" w:cs="Arial"/>
          <w:noProof/>
          <w:lang w:eastAsia="en-AU"/>
        </w:rPr>
        <w:t>, which line up well with our results from this baseline study</w:t>
      </w:r>
      <w:r>
        <w:rPr>
          <w:rFonts w:ascii="Arial" w:hAnsi="Arial" w:cs="Arial"/>
          <w:noProof/>
          <w:lang w:eastAsia="en-AU"/>
        </w:rPr>
        <w:t xml:space="preserve">.  </w:t>
      </w:r>
    </w:p>
    <w:p w14:paraId="5B8D6770" w14:textId="77777777" w:rsidR="00903CEF" w:rsidRDefault="00C771DD" w:rsidP="005440A0">
      <w:pPr>
        <w:rPr>
          <w:rFonts w:ascii="Arial" w:hAnsi="Arial" w:cs="Arial"/>
          <w:noProof/>
          <w:lang w:eastAsia="en-AU"/>
        </w:rPr>
      </w:pPr>
    </w:p>
    <w:p w14:paraId="5B8D6771" w14:textId="77777777" w:rsidR="005440A0" w:rsidRPr="00313459" w:rsidRDefault="00C771DD" w:rsidP="005440A0">
      <w:pPr>
        <w:rPr>
          <w:rFonts w:ascii="Arial" w:hAnsi="Arial" w:cs="Arial"/>
          <w:b/>
          <w:i/>
          <w:noProof/>
          <w:lang w:eastAsia="en-AU"/>
        </w:rPr>
      </w:pPr>
      <w:r w:rsidRPr="00313459">
        <w:rPr>
          <w:rFonts w:ascii="Arial" w:hAnsi="Arial" w:cs="Arial"/>
          <w:b/>
          <w:i/>
          <w:noProof/>
          <w:lang w:eastAsia="en-AU"/>
        </w:rPr>
        <w:t xml:space="preserve">References </w:t>
      </w:r>
    </w:p>
    <w:p w14:paraId="5B8D6772" w14:textId="77777777" w:rsidR="00E6748C" w:rsidRDefault="00C771DD" w:rsidP="004D0B9C">
      <w:pPr>
        <w:rPr>
          <w:rFonts w:ascii="Arial" w:hAnsi="Arial" w:cs="Arial"/>
        </w:rPr>
      </w:pPr>
      <w:r>
        <w:rPr>
          <w:rFonts w:ascii="Arial" w:hAnsi="Arial" w:cs="Arial"/>
        </w:rPr>
        <w:t>Kaempf J., Ellis H. (2015) Hy</w:t>
      </w:r>
      <w:r>
        <w:rPr>
          <w:rFonts w:ascii="Arial" w:hAnsi="Arial" w:cs="Arial"/>
        </w:rPr>
        <w:t>drodynamics and flushing of Coffin Bay, South Australia: A small tidal inverse estuary of interconnected bays. Journal of Coastal Research, 31, 447-456.</w:t>
      </w:r>
    </w:p>
    <w:p w14:paraId="5B8D6773" w14:textId="77777777" w:rsidR="003B1130" w:rsidRDefault="00C771DD" w:rsidP="004D0B9C">
      <w:pPr>
        <w:rPr>
          <w:rFonts w:ascii="Arial" w:hAnsi="Arial" w:cs="Arial"/>
        </w:rPr>
      </w:pPr>
    </w:p>
    <w:p w14:paraId="5B8D6774" w14:textId="77777777" w:rsidR="003B1130" w:rsidRDefault="00C771DD" w:rsidP="004D0B9C">
      <w:pPr>
        <w:rPr>
          <w:rFonts w:ascii="Arial" w:hAnsi="Arial" w:cs="Arial"/>
        </w:rPr>
      </w:pPr>
    </w:p>
    <w:p w14:paraId="5B8D6775" w14:textId="77777777" w:rsidR="003B1130" w:rsidRDefault="00C771DD" w:rsidP="004D0B9C">
      <w:pPr>
        <w:rPr>
          <w:rFonts w:ascii="Arial" w:hAnsi="Arial" w:cs="Arial"/>
        </w:rPr>
      </w:pPr>
    </w:p>
    <w:p w14:paraId="5B8D6776" w14:textId="77777777" w:rsidR="00397680" w:rsidRPr="00397680" w:rsidRDefault="00C771DD" w:rsidP="004D0B9C">
      <w:pPr>
        <w:rPr>
          <w:rFonts w:ascii="Arial" w:hAnsi="Arial" w:cs="Arial"/>
          <w:b/>
          <w:i/>
        </w:rPr>
      </w:pPr>
    </w:p>
    <w:sectPr w:rsidR="00397680" w:rsidRPr="00397680" w:rsidSect="002223E4">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abine Dittmann" w:date="2018-03-14T17:09:00Z" w:initials="SD">
    <w:p w14:paraId="5B8D6787" w14:textId="77777777" w:rsidR="008E156E" w:rsidRDefault="00C771DD">
      <w:pPr>
        <w:pStyle w:val="CommentText"/>
      </w:pPr>
      <w:r>
        <w:rPr>
          <w:rStyle w:val="CommentReference"/>
        </w:rPr>
        <w:annotationRef/>
      </w:r>
      <w:r>
        <w:t xml:space="preserve">I think it is </w:t>
      </w:r>
    </w:p>
    <w:p w14:paraId="5B8D6788" w14:textId="77777777" w:rsidR="008E156E" w:rsidRDefault="00C771DD">
      <w:pPr>
        <w:pStyle w:val="CommentText"/>
      </w:pPr>
      <w:r>
        <w:t>Brachidontes, not Brachiodontes (bivalve)</w:t>
      </w:r>
    </w:p>
  </w:comment>
  <w:comment w:id="2" w:author="Sabine Dittmann" w:date="2018-03-14T17:10:00Z" w:initials="SD">
    <w:p w14:paraId="5B8D6789" w14:textId="77777777" w:rsidR="008E156E" w:rsidRDefault="00C771DD">
      <w:pPr>
        <w:pStyle w:val="CommentText"/>
      </w:pPr>
      <w:r>
        <w:rPr>
          <w:rStyle w:val="CommentReference"/>
        </w:rPr>
        <w:annotationRef/>
      </w:r>
      <w:r>
        <w:t xml:space="preserve">Could you add in a sentence or two here </w:t>
      </w:r>
      <w:r>
        <w:t>on that the abundances were actually, e.g. that they ranged between ... - ... ind m-2.</w:t>
      </w:r>
    </w:p>
  </w:comment>
  <w:comment w:id="3" w:author="Sabine Dittmann" w:date="2018-03-14T17:14:00Z" w:initials="SD">
    <w:p w14:paraId="5B8D678A" w14:textId="77777777" w:rsidR="008E156E" w:rsidRDefault="00C771DD">
      <w:pPr>
        <w:pStyle w:val="CommentText"/>
      </w:pPr>
      <w:r>
        <w:rPr>
          <w:rStyle w:val="CommentReference"/>
        </w:rPr>
        <w:annotationRef/>
      </w:r>
      <w:r>
        <w:t xml:space="preserve">Maybe this sentence can be moving forward, after the suggested additional sentence with actual ranges of abundance. </w:t>
      </w:r>
    </w:p>
    <w:p w14:paraId="5B8D678B" w14:textId="77777777" w:rsidR="008E156E" w:rsidRDefault="00C771DD">
      <w:pPr>
        <w:pStyle w:val="CommentText"/>
      </w:pPr>
      <w:r>
        <w:t xml:space="preserve">You can add a sentence saying; However, abundances </w:t>
      </w:r>
      <w:r>
        <w:t>of major phyla/higher taxa differed sign across sites and zones... (something like that)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8D6788" w15:done="0"/>
  <w15:commentEx w15:paraId="5B8D6789" w15:done="0"/>
  <w15:commentEx w15:paraId="5B8D678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DD"/>
    <w:rsid w:val="00C771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B8D673D"/>
  <w15:docId w15:val="{F6D8083A-78D4-494F-AD6B-44677513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258"/>
    <w:rPr>
      <w:rFonts w:ascii="Tahoma" w:hAnsi="Tahoma" w:cs="Tahoma"/>
      <w:sz w:val="16"/>
      <w:szCs w:val="16"/>
    </w:rPr>
  </w:style>
  <w:style w:type="character" w:styleId="CommentReference">
    <w:name w:val="annotation reference"/>
    <w:basedOn w:val="DefaultParagraphFont"/>
    <w:uiPriority w:val="99"/>
    <w:semiHidden/>
    <w:unhideWhenUsed/>
    <w:rsid w:val="003B1130"/>
    <w:rPr>
      <w:sz w:val="16"/>
      <w:szCs w:val="16"/>
    </w:rPr>
  </w:style>
  <w:style w:type="paragraph" w:styleId="CommentText">
    <w:name w:val="annotation text"/>
    <w:basedOn w:val="Normal"/>
    <w:link w:val="CommentTextChar"/>
    <w:uiPriority w:val="99"/>
    <w:semiHidden/>
    <w:unhideWhenUsed/>
    <w:rsid w:val="003B1130"/>
    <w:pPr>
      <w:spacing w:line="240" w:lineRule="auto"/>
    </w:pPr>
    <w:rPr>
      <w:sz w:val="20"/>
      <w:szCs w:val="20"/>
    </w:rPr>
  </w:style>
  <w:style w:type="character" w:customStyle="1" w:styleId="CommentTextChar">
    <w:name w:val="Comment Text Char"/>
    <w:basedOn w:val="DefaultParagraphFont"/>
    <w:link w:val="CommentText"/>
    <w:uiPriority w:val="99"/>
    <w:semiHidden/>
    <w:rsid w:val="003B1130"/>
    <w:rPr>
      <w:sz w:val="20"/>
      <w:szCs w:val="20"/>
    </w:rPr>
  </w:style>
  <w:style w:type="paragraph" w:styleId="CommentSubject">
    <w:name w:val="annotation subject"/>
    <w:basedOn w:val="CommentText"/>
    <w:next w:val="CommentText"/>
    <w:link w:val="CommentSubjectChar"/>
    <w:uiPriority w:val="99"/>
    <w:semiHidden/>
    <w:unhideWhenUsed/>
    <w:rsid w:val="003B1130"/>
    <w:rPr>
      <w:b/>
      <w:bCs/>
    </w:rPr>
  </w:style>
  <w:style w:type="character" w:customStyle="1" w:styleId="CommentSubjectChar">
    <w:name w:val="Comment Subject Char"/>
    <w:basedOn w:val="CommentTextChar"/>
    <w:link w:val="CommentSubject"/>
    <w:uiPriority w:val="99"/>
    <w:semiHidden/>
    <w:rsid w:val="003B1130"/>
    <w:rPr>
      <w:b/>
      <w:bCs/>
      <w:sz w:val="20"/>
      <w:szCs w:val="20"/>
    </w:rPr>
  </w:style>
  <w:style w:type="paragraph" w:styleId="Revision">
    <w:name w:val="Revision"/>
    <w:hidden/>
    <w:uiPriority w:val="99"/>
    <w:semiHidden/>
    <w:rsid w:val="00903C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7.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image" Target="media/image8.tif"/><Relationship Id="rId14" Type="http://schemas.microsoft.com/office/2011/relationships/commentsExtended" Target="commentsExtended.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7e31c2-e23b-4dcf-89da-f20d86e48d87">
      <Value>3</Value>
      <Value>2</Value>
      <Value>1</Value>
    </TaxCatchAll>
    <Summary xmlns="c57e31c2-e23b-4dcf-89da-f20d86e48d87" xsi:nil="true"/>
    <Released xmlns="c57e31c2-e23b-4dcf-89da-f20d86e48d87">2018-07-29T14:30:00+00:00</Released>
    <Document_x0020_ID xmlns="c57e31c2-e23b-4dcf-89da-f20d86e48d87" xsi:nil="true"/>
    <Custodian xmlns="c57e31c2-e23b-4dcf-89da-f20d86e48d87">DEWNR</Custodian>
    <_Publisher xmlns="http://schemas.microsoft.com/sharepoint/v3/fields" xsi:nil="true"/>
    <KpiDescription xmlns="http://schemas.microsoft.com/sharepoint/v3" xsi:nil="true"/>
    <URL xmlns="http://schemas.microsoft.com/sharepoint/v3">
      <Url xsi:nil="true"/>
      <Description xsi:nil="true"/>
    </URL>
    <Year_x0020_published xmlns="c57e31c2-e23b-4dcf-89da-f20d86e48d87" xsi:nil="true"/>
    <j8f67cfa4f4249dd914c688dd5d31c93 xmlns="c57e31c2-e23b-4dcf-89da-f20d86e48d87" xsi:nil="true"/>
    <c187d8d39a674e57ba321f20b4a5132f xmlns="c57e31c2-e23b-4dcf-89da-f20d86e48d87">
      <Terms xmlns="http://schemas.microsoft.com/office/infopath/2007/PartnerControls"/>
    </c187d8d39a674e57ba321f20b4a5132f>
    <ISBN xmlns="c57e31c2-e23b-4dcf-89da-f20d86e48d87" xsi:nil="true"/>
    <b16043c6a75547b2a0a8f3ea382969cc xmlns="c57e31c2-e23b-4dcf-89da-f20d86e48d87">
      <Terms xmlns="http://schemas.microsoft.com/office/infopath/2007/PartnerControls"/>
    </b16043c6a75547b2a0a8f3ea382969cc>
    <l227500c265548d4a2514876c1c2cf44 xmlns="c57e31c2-e23b-4dcf-89da-f20d86e48d87">
      <Terms xmlns="http://schemas.microsoft.com/office/infopath/2007/PartnerControls"/>
    </l227500c265548d4a2514876c1c2cf44>
    <m26a09bb7c604923bec5b8af2955f01c xmlns="c57e31c2-e23b-4dcf-89da-f20d86e48d87">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cf2fe8d2-de5f-4980-93ff-5f23c0e3b522</TermId>
        </TermInfo>
      </Terms>
    </m26a09bb7c604923bec5b8af2955f01c>
    <b08ac377cc9e4dfaa180a06fe6b439b0 xmlns="c57e31c2-e23b-4dcf-89da-f20d86e48d87">
      <Terms xmlns="http://schemas.microsoft.com/office/infopath/2007/PartnerControls"/>
    </b08ac377cc9e4dfaa180a06fe6b439b0>
    <New_x0020_Window xmlns="c57e31c2-e23b-4dcf-89da-f20d86e48d87">true</New_x0020_Window>
    <UploadMethod xmlns="54859021-754b-4a42-bfa0-6b7c8b3aa86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Research" ma:contentTypeID="0x010100F52C3F84A173454D99FB14E83FF8151D0100C8B5C938D885E44F9CBEBDA00C4905AF00FED3B082FA2ACA48BBF562E6B5763D6F" ma:contentTypeVersion="4" ma:contentTypeDescription="" ma:contentTypeScope="" ma:versionID="7102f1d3c619e48810e05fd0c8248bfc">
  <xsd:schema xmlns:xsd="http://www.w3.org/2001/XMLSchema" xmlns:xs="http://www.w3.org/2001/XMLSchema" xmlns:p="http://schemas.microsoft.com/office/2006/metadata/properties" xmlns:ns1="http://schemas.microsoft.com/sharepoint/v3" xmlns:ns2="c57e31c2-e23b-4dcf-89da-f20d86e48d87" xmlns:ns3="http://schemas.microsoft.com/sharepoint/v3/fields" xmlns:ns4="54859021-754b-4a42-bfa0-6b7c8b3aa865" targetNamespace="http://schemas.microsoft.com/office/2006/metadata/properties" ma:root="true" ma:fieldsID="bfe511614254106bd9185e9a40621572" ns1:_="" ns2:_="" ns3:_="" ns4:_="">
    <xsd:import namespace="http://schemas.microsoft.com/sharepoint/v3"/>
    <xsd:import namespace="c57e31c2-e23b-4dcf-89da-f20d86e48d87"/>
    <xsd:import namespace="http://schemas.microsoft.com/sharepoint/v3/fields"/>
    <xsd:import namespace="54859021-754b-4a42-bfa0-6b7c8b3aa865"/>
    <xsd:element name="properties">
      <xsd:complexType>
        <xsd:sequence>
          <xsd:element name="documentManagement">
            <xsd:complexType>
              <xsd:all>
                <xsd:element ref="ns2:Custodian" minOccurs="0"/>
                <xsd:element ref="ns2:Summary" minOccurs="0"/>
                <xsd:element ref="ns2:New_x0020_Window" minOccurs="0"/>
                <xsd:element ref="ns2:TaxCatchAll" minOccurs="0"/>
                <xsd:element ref="ns2:TaxCatchAllLabel" minOccurs="0"/>
                <xsd:element ref="ns2:l227500c265548d4a2514876c1c2cf44" minOccurs="0"/>
                <xsd:element ref="ns2:b16043c6a75547b2a0a8f3ea382969cc" minOccurs="0"/>
                <xsd:element ref="ns2:c187d8d39a674e57ba321f20b4a5132f" minOccurs="0"/>
                <xsd:element ref="ns2:ISBN" minOccurs="0"/>
                <xsd:element ref="ns2:Released" minOccurs="0"/>
                <xsd:element ref="ns2:Document_x0020_ID" minOccurs="0"/>
                <xsd:element ref="ns3:_Publisher" minOccurs="0"/>
                <xsd:element ref="ns2:b08ac377cc9e4dfaa180a06fe6b439b0" minOccurs="0"/>
                <xsd:element ref="ns1:URL" minOccurs="0"/>
                <xsd:element ref="ns2:j8f67cfa4f4249dd914c688dd5d31c93" minOccurs="0"/>
                <xsd:element ref="ns1:KpiDescription" minOccurs="0"/>
                <xsd:element ref="ns2:Year_x0020_published" minOccurs="0"/>
                <xsd:element ref="ns2:m26a09bb7c604923bec5b8af2955f01c" minOccurs="0"/>
                <xsd:element ref="ns4:UploadMetho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22"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KpiDescription" ma:index="24" nillable="true" ma:displayName="Description" ma:description="The description provides information about the purpose of the goal." ma:internalName="Kpi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e31c2-e23b-4dcf-89da-f20d86e48d87" elementFormDefault="qualified">
    <xsd:import namespace="http://schemas.microsoft.com/office/2006/documentManagement/types"/>
    <xsd:import namespace="http://schemas.microsoft.com/office/infopath/2007/PartnerControls"/>
    <xsd:element name="Custodian" ma:index="2" nillable="true" ma:displayName="Custodian" ma:internalName="Custodian" ma:readOnly="false">
      <xsd:simpleType>
        <xsd:restriction base="dms:Text">
          <xsd:maxLength value="255"/>
        </xsd:restriction>
      </xsd:simpleType>
    </xsd:element>
    <xsd:element name="Summary" ma:index="5" nillable="true" ma:displayName="Summary" ma:internalName="Summary" ma:readOnly="false">
      <xsd:simpleType>
        <xsd:restriction base="dms:Note"/>
      </xsd:simpleType>
    </xsd:element>
    <xsd:element name="New_x0020_Window" ma:index="6" nillable="true" ma:displayName="New Window" ma:default="0" ma:internalName="New_x0020_Window" ma:readOnly="false">
      <xsd:simpleType>
        <xsd:restriction base="dms:Boolean"/>
      </xsd:simpleType>
    </xsd:element>
    <xsd:element name="TaxCatchAll" ma:index="8" nillable="true" ma:displayName="Taxonomy Catch All Column" ma:hidden="true" ma:list="{3b627e33-2917-422a-a26f-11cf9bc2509f}" ma:internalName="TaxCatchAll" ma:readOnly="false" ma:showField="CatchAllData" ma:web="3790bdcc-3a81-401a-88b6-9040708aa9a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b627e33-2917-422a-a26f-11cf9bc2509f}" ma:internalName="TaxCatchAllLabel" ma:readOnly="true" ma:showField="CatchAllDataLabel" ma:web="3790bdcc-3a81-401a-88b6-9040708aa9a0">
      <xsd:complexType>
        <xsd:complexContent>
          <xsd:extension base="dms:MultiChoiceLookup">
            <xsd:sequence>
              <xsd:element name="Value" type="dms:Lookup" maxOccurs="unbounded" minOccurs="0" nillable="true"/>
            </xsd:sequence>
          </xsd:extension>
        </xsd:complexContent>
      </xsd:complexType>
    </xsd:element>
    <xsd:element name="l227500c265548d4a2514876c1c2cf44" ma:index="10" nillable="true" ma:taxonomy="true" ma:internalName="l227500c265548d4a2514876c1c2cf44" ma:taxonomyFieldName="GIS_x0020_Location" ma:displayName="GIS Location" ma:readOnly="false" ma:fieldId="{5227500c-2655-48d4-a251-4876c1c2cf44}" ma:taxonomyMulti="true" ma:sspId="0a881ea3-a816-464e-81e8-67cf6c659130" ma:termSetId="dbffe2f4-0a16-4696-acf8-ca6ed933d889" ma:anchorId="becde6e2-397d-44ba-a6b8-720da2b9a10f" ma:open="false" ma:isKeyword="false">
      <xsd:complexType>
        <xsd:sequence>
          <xsd:element ref="pc:Terms" minOccurs="0" maxOccurs="1"/>
        </xsd:sequence>
      </xsd:complexType>
    </xsd:element>
    <xsd:element name="b16043c6a75547b2a0a8f3ea382969cc" ma:index="11" nillable="true" ma:taxonomy="true" ma:internalName="b16043c6a75547b2a0a8f3ea382969cc" ma:taxonomyFieldName="NR_x0020_Connect_x0020_Tags" ma:displayName="NR Connect Tags" ma:readOnly="false" ma:fieldId="{b16043c6-a755-47b2-a0a8-f3ea382969cc}" ma:taxonomyMulti="true" ma:sspId="0a881ea3-a816-464e-81e8-67cf6c659130" ma:termSetId="331127b4-c7f7-4d53-ab00-8606bd2656df" ma:anchorId="00000000-0000-0000-0000-000000000000" ma:open="false" ma:isKeyword="false">
      <xsd:complexType>
        <xsd:sequence>
          <xsd:element ref="pc:Terms" minOccurs="0" maxOccurs="1"/>
        </xsd:sequence>
      </xsd:complexType>
    </xsd:element>
    <xsd:element name="c187d8d39a674e57ba321f20b4a5132f" ma:index="12" nillable="true" ma:taxonomy="true" ma:internalName="c187d8d39a674e57ba321f20b4a5132f" ma:taxonomyFieldName="Interest" ma:displayName="Interest" ma:readOnly="false" ma:default="" ma:fieldId="{c187d8d3-9a67-4e57-ba32-1f20b4a5132f}" ma:taxonomyMulti="true" ma:sspId="0a881ea3-a816-464e-81e8-67cf6c659130" ma:termSetId="b7ee6a0c-97e5-4c73-bd88-557fcbd709b6" ma:anchorId="00000000-0000-0000-0000-000000000000" ma:open="false" ma:isKeyword="false">
      <xsd:complexType>
        <xsd:sequence>
          <xsd:element ref="pc:Terms" minOccurs="0" maxOccurs="1"/>
        </xsd:sequence>
      </xsd:complexType>
    </xsd:element>
    <xsd:element name="ISBN" ma:index="16" nillable="true" ma:displayName="ISBN" ma:internalName="ISBN" ma:readOnly="false">
      <xsd:simpleType>
        <xsd:restriction base="dms:Text">
          <xsd:maxLength value="255"/>
        </xsd:restriction>
      </xsd:simpleType>
    </xsd:element>
    <xsd:element name="Released" ma:index="18" nillable="true" ma:displayName="Released" ma:format="DateOnly" ma:internalName="Released" ma:readOnly="false">
      <xsd:simpleType>
        <xsd:restriction base="dms:DateTime"/>
      </xsd:simpleType>
    </xsd:element>
    <xsd:element name="Document_x0020_ID" ma:index="19" nillable="true" ma:displayName="Document ID" ma:internalName="Document_x0020_ID" ma:readOnly="false">
      <xsd:simpleType>
        <xsd:restriction base="dms:Text">
          <xsd:maxLength value="255"/>
        </xsd:restriction>
      </xsd:simpleType>
    </xsd:element>
    <xsd:element name="b08ac377cc9e4dfaa180a06fe6b439b0" ma:index="21" nillable="true" ma:taxonomy="true" ma:internalName="b08ac377cc9e4dfaa180a06fe6b439b0" ma:taxonomyFieldName="Tags" ma:displayName="Tags" ma:readOnly="false" ma:fieldId="{b08ac377-cc9e-4dfa-a180-a06fe6b439b0}" ma:taxonomyMulti="true" ma:sspId="0a881ea3-a816-464e-81e8-67cf6c659130" ma:termSetId="331127b4-c7f7-4d53-ab00-8606bd2656df" ma:anchorId="00000000-0000-0000-0000-000000000000" ma:open="false" ma:isKeyword="false">
      <xsd:complexType>
        <xsd:sequence>
          <xsd:element ref="pc:Terms" minOccurs="0" maxOccurs="1"/>
        </xsd:sequence>
      </xsd:complexType>
    </xsd:element>
    <xsd:element name="j8f67cfa4f4249dd914c688dd5d31c93" ma:index="23" nillable="true" ma:displayName="DENR Security Classification_0" ma:hidden="true" ma:internalName="j8f67cfa4f4249dd914c688dd5d31c93" ma:readOnly="false">
      <xsd:simpleType>
        <xsd:restriction base="dms:Note"/>
      </xsd:simpleType>
    </xsd:element>
    <xsd:element name="Year_x0020_published" ma:index="25" nillable="true" ma:displayName="Year published" ma:internalName="Year_x0020_published" ma:readOnly="false">
      <xsd:simpleType>
        <xsd:restriction base="dms:Text">
          <xsd:maxLength value="255"/>
        </xsd:restriction>
      </xsd:simpleType>
    </xsd:element>
    <xsd:element name="m26a09bb7c604923bec5b8af2955f01c" ma:index="30" ma:taxonomy="true" ma:internalName="m26a09bb7c604923bec5b8af2955f01c" ma:taxonomyFieldName="Security_x0020_Classification" ma:displayName="Security Classification" ma:readOnly="false" ma:default="" ma:fieldId="{626a09bb-7c60-4923-bec5-b8af2955f01c}" ma:sspId="0a881ea3-a816-464e-81e8-67cf6c659130" ma:termSetId="6f0c10b4-31ca-4e5b-8b78-5a32f461cc6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20" nillable="true" ma:displayName="Publisher" ma:description="The person, organization or service that published this resource" ma:internalName="_Publish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59021-754b-4a42-bfa0-6b7c8b3aa865" elementFormDefault="qualified">
    <xsd:import namespace="http://schemas.microsoft.com/office/2006/documentManagement/types"/>
    <xsd:import namespace="http://schemas.microsoft.com/office/infopath/2007/PartnerControls"/>
    <xsd:element name="UploadMethod" ma:index="32" nillable="true" ma:displayName="UploadMethod" ma:hidden="true" ma:internalName="UploadMetho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7" ma:displayName="Author"/>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0a881ea3-a816-464e-81e8-67cf6c659130" ContentTypeId="0x010100F52C3F84A173454D99FB14E83FF8151D01" PreviousValue="false"/>
</file>

<file path=customXml/itemProps1.xml><?xml version="1.0" encoding="utf-8"?>
<ds:datastoreItem xmlns:ds="http://schemas.openxmlformats.org/officeDocument/2006/customXml" ds:itemID="{87D9194E-2AD4-40B9-99E2-C66011709534}"/>
</file>

<file path=customXml/itemProps2.xml><?xml version="1.0" encoding="utf-8"?>
<ds:datastoreItem xmlns:ds="http://schemas.openxmlformats.org/officeDocument/2006/customXml" ds:itemID="{B1C26BFB-5164-43E1-B21C-F129677713C5}"/>
</file>

<file path=customXml/itemProps3.xml><?xml version="1.0" encoding="utf-8"?>
<ds:datastoreItem xmlns:ds="http://schemas.openxmlformats.org/officeDocument/2006/customXml" ds:itemID="{C589541E-D883-4D27-9101-45ADB2A1B4D2}"/>
</file>

<file path=customXml/itemProps4.xml><?xml version="1.0" encoding="utf-8"?>
<ds:datastoreItem xmlns:ds="http://schemas.openxmlformats.org/officeDocument/2006/customXml" ds:itemID="{CBCBDD38-756C-4833-AD42-1595AD1A6529}">
  <ds:schemaRefs>
    <ds:schemaRef ds:uri="http://schemas.microsoft.com/sharepoint/events"/>
  </ds:schemaRefs>
</ds:datastoreItem>
</file>

<file path=customXml/itemProps5.xml><?xml version="1.0" encoding="utf-8"?>
<ds:datastoreItem xmlns:ds="http://schemas.openxmlformats.org/officeDocument/2006/customXml" ds:itemID="{80D62442-1FE9-4439-B3F1-E589F51EC523}"/>
</file>

<file path=customXml/itemProps6.xml><?xml version="1.0" encoding="utf-8"?>
<ds:datastoreItem xmlns:ds="http://schemas.openxmlformats.org/officeDocument/2006/customXml" ds:itemID="{E6345B61-B729-4D4D-B319-5FF48DDB9ED6}"/>
</file>

<file path=docProps/app.xml><?xml version="1.0" encoding="utf-8"?>
<Properties xmlns="http://schemas.openxmlformats.org/officeDocument/2006/extended-properties" xmlns:vt="http://schemas.openxmlformats.org/officeDocument/2006/docPropsVTypes">
  <Template>Normal</Template>
  <TotalTime>1</TotalTime>
  <Pages>12</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Coffin Bay coastal waters subtidal soft sediment report</dc:title>
  <dc:creator>Ryan Baring</dc:creator>
  <cp:lastModifiedBy>Craig Meakin</cp:lastModifiedBy>
  <cp:revision>2</cp:revision>
  <cp:lastPrinted>2016-10-26T22:00:00Z</cp:lastPrinted>
  <dcterms:created xsi:type="dcterms:W3CDTF">2018-07-25T01:56:00Z</dcterms:created>
  <dcterms:modified xsi:type="dcterms:W3CDTF">2018-07-25T01:56:00Z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0x010100F52C3F84A173454D99FB14E83FF8151D0100C8B5C938D885E44F9CBEBDA00C4905AF00FED3B082FA2ACA48BBF562E6B5763D6F</vt:lpwstr>
  </property>
  <property fmtid="{D5CDD505-2E9C-101B-9397-08002B2CF9AE}" pid="3" name="DENR Classification">
    <vt:lpwstr>9;#Research and Monitoring|e992d116-9dec-4362-83d2-98b8274f6cfa</vt:lpwstr>
  </property>
  <property fmtid="{D5CDD505-2E9C-101B-9397-08002B2CF9AE}" pid="4" name="DENR Originating Location">
    <vt:lpwstr>4;#iShare Sites:Communities:Coast and Marine Management BCM101007|dfaec6b3-7ca1-4140-a881-fd7d5d334927</vt:lpwstr>
  </property>
  <property fmtid="{D5CDD505-2E9C-101B-9397-08002B2CF9AE}" pid="5" name="_dlc_DocIdItemGuid">
    <vt:lpwstr>e358f10b-e21f-4cc9-912d-f84dee0f343a</vt:lpwstr>
  </property>
  <property fmtid="{D5CDD505-2E9C-101B-9397-08002B2CF9AE}" pid="6" name="DENR_x0020_Security_x0020_Classification">
    <vt:lpwstr>70;#For Official Use Only|a4583154-c7a2-49d1-98b6-bbfbd7fc57eb</vt:lpwstr>
  </property>
  <property fmtid="{D5CDD505-2E9C-101B-9397-08002B2CF9AE}" pid="7" name="Tags">
    <vt:lpwstr/>
  </property>
  <property fmtid="{D5CDD505-2E9C-101B-9397-08002B2CF9AE}" pid="8" name="DENR Security Classification">
    <vt:lpwstr>70</vt:lpwstr>
  </property>
  <property fmtid="{D5CDD505-2E9C-101B-9397-08002B2CF9AE}" pid="9" name="Interest">
    <vt:lpwstr/>
  </property>
  <property fmtid="{D5CDD505-2E9C-101B-9397-08002B2CF9AE}" pid="10" name="GIS Location">
    <vt:lpwstr/>
  </property>
  <property fmtid="{D5CDD505-2E9C-101B-9397-08002B2CF9AE}" pid="11" name="Jurisdiction">
    <vt:lpwstr>2;#SA|bede4796-064e-4449-93fc-b6e7800b72a5</vt:lpwstr>
  </property>
  <property fmtid="{D5CDD505-2E9C-101B-9397-08002B2CF9AE}" pid="12" name="Report_x0020_Card_x0020_Theme">
    <vt:lpwstr/>
  </property>
  <property fmtid="{D5CDD505-2E9C-101B-9397-08002B2CF9AE}" pid="15" name="NR Connect Tags">
    <vt:lpwstr/>
  </property>
  <property fmtid="{D5CDD505-2E9C-101B-9397-08002B2CF9AE}" pid="16" name="h4b670d3ccef4d2c9cb0fcbe4933e7cd">
    <vt:lpwstr>CC-BY|95b74406-3508-48c0-9fc2-aeef1ad213ea</vt:lpwstr>
  </property>
  <property fmtid="{D5CDD505-2E9C-101B-9397-08002B2CF9AE}" pid="17" name="License">
    <vt:lpwstr>1;#CC-BY|95b74406-3508-48c0-9fc2-aeef1ad213ea</vt:lpwstr>
  </property>
  <property fmtid="{D5CDD505-2E9C-101B-9397-08002B2CF9AE}" pid="18" name="ka30330069d24a1e8c1a04e4680c071b">
    <vt:lpwstr>SA|bede4796-064e-4449-93fc-b6e7800b72a5</vt:lpwstr>
  </property>
  <property fmtid="{D5CDD505-2E9C-101B-9397-08002B2CF9AE}" pid="20" name="Security Classification">
    <vt:lpwstr>3;#Public|cf2fe8d2-de5f-4980-93ff-5f23c0e3b522</vt:lpwstr>
  </property>
  <property fmtid="{D5CDD505-2E9C-101B-9397-08002B2CF9AE}" pid="21" name="l9e24261105d41d287a412b4d1e337d8">
    <vt:lpwstr/>
  </property>
  <property fmtid="{D5CDD505-2E9C-101B-9397-08002B2CF9AE}" pid="32" name="DisplayTemplateJSIconUrl">
    <vt:lpwstr/>
  </property>
  <property fmtid="{D5CDD505-2E9C-101B-9397-08002B2CF9AE}" pid="36" name="Report Card Theme">
    <vt:lpwstr/>
  </property>
</Properties>
</file>